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E3ED0">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sz w:val="24"/>
        </w:rPr>
      </w:pPr>
    </w:p>
    <w:p w14:paraId="7CD07813">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sz w:val="24"/>
        </w:rPr>
      </w:pPr>
    </w:p>
    <w:p w14:paraId="26F8744D">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sz w:val="24"/>
        </w:rPr>
      </w:pPr>
    </w:p>
    <w:p w14:paraId="5243DF99">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sz w:val="24"/>
        </w:rPr>
      </w:pPr>
    </w:p>
    <w:p w14:paraId="0A1C4A3E">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hint="eastAsia" w:ascii="宋体" w:hAnsi="宋体"/>
          <w:b/>
          <w:bCs/>
          <w:sz w:val="52"/>
          <w:szCs w:val="52"/>
        </w:rPr>
      </w:pPr>
      <w:r>
        <w:rPr>
          <w:rFonts w:ascii="宋体" w:hAnsi="宋体"/>
          <w:b/>
          <w:bCs/>
          <w:sz w:val="52"/>
          <w:szCs w:val="52"/>
        </w:rPr>
        <w:t>2025</w:t>
      </w:r>
      <w:r>
        <w:rPr>
          <w:rFonts w:hint="eastAsia" w:ascii="宋体" w:hAnsi="宋体"/>
          <w:b/>
          <w:bCs/>
          <w:sz w:val="52"/>
          <w:szCs w:val="52"/>
        </w:rPr>
        <w:t>年度呼伦贝尔市扎赉诺尔区</w:t>
      </w:r>
    </w:p>
    <w:p w14:paraId="4F26C7E9">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b/>
          <w:bCs/>
          <w:sz w:val="52"/>
          <w:szCs w:val="52"/>
        </w:rPr>
      </w:pPr>
      <w:bookmarkStart w:id="1" w:name="_GoBack"/>
      <w:bookmarkEnd w:id="1"/>
      <w:r>
        <w:rPr>
          <w:rFonts w:hint="eastAsia" w:ascii="宋体" w:hAnsi="宋体"/>
          <w:b/>
          <w:bCs/>
          <w:sz w:val="52"/>
          <w:szCs w:val="52"/>
        </w:rPr>
        <w:t>人民检察院</w:t>
      </w:r>
    </w:p>
    <w:p w14:paraId="6E5D6E5A">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b/>
          <w:bCs/>
          <w:sz w:val="52"/>
          <w:szCs w:val="52"/>
        </w:rPr>
      </w:pPr>
      <w:r>
        <w:rPr>
          <w:rFonts w:hint="eastAsia" w:ascii="宋体" w:hAnsi="宋体"/>
          <w:b/>
          <w:bCs/>
          <w:sz w:val="52"/>
          <w:szCs w:val="52"/>
        </w:rPr>
        <w:t>公开报告</w:t>
      </w:r>
    </w:p>
    <w:p w14:paraId="7C20471A">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b/>
          <w:bCs/>
          <w:sz w:val="52"/>
          <w:szCs w:val="52"/>
        </w:rPr>
      </w:pPr>
    </w:p>
    <w:p w14:paraId="51B07256">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b/>
          <w:bCs/>
          <w:sz w:val="52"/>
          <w:szCs w:val="52"/>
        </w:rPr>
      </w:pPr>
    </w:p>
    <w:p w14:paraId="224DDF05">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b/>
          <w:bCs/>
          <w:sz w:val="52"/>
          <w:szCs w:val="52"/>
        </w:rPr>
      </w:pPr>
    </w:p>
    <w:p w14:paraId="17A4172C">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b/>
          <w:bCs/>
          <w:sz w:val="52"/>
          <w:szCs w:val="52"/>
        </w:rPr>
      </w:pPr>
    </w:p>
    <w:p w14:paraId="42975C0E">
      <w:pPr>
        <w:keepNext w:val="0"/>
        <w:keepLines w:val="0"/>
        <w:pageBreakBefore w:val="0"/>
        <w:kinsoku/>
        <w:wordWrap/>
        <w:overflowPunct/>
        <w:topLinePunct w:val="0"/>
        <w:autoSpaceDE/>
        <w:autoSpaceDN/>
        <w:bidi w:val="0"/>
        <w:spacing w:line="576" w:lineRule="exact"/>
        <w:ind w:left="0" w:leftChars="0" w:right="0" w:rightChars="0"/>
        <w:jc w:val="center"/>
        <w:textAlignment w:val="auto"/>
        <w:rPr>
          <w:rFonts w:ascii="宋体" w:hAnsi="宋体"/>
          <w:b/>
          <w:bCs/>
          <w:sz w:val="52"/>
          <w:szCs w:val="52"/>
        </w:rPr>
      </w:pPr>
    </w:p>
    <w:p w14:paraId="389A258F">
      <w:pPr>
        <w:keepNext w:val="0"/>
        <w:keepLines w:val="0"/>
        <w:pageBreakBefore w:val="0"/>
        <w:kinsoku/>
        <w:wordWrap/>
        <w:overflowPunct/>
        <w:topLinePunct w:val="0"/>
        <w:autoSpaceDE/>
        <w:autoSpaceDN/>
        <w:bidi w:val="0"/>
        <w:spacing w:line="576" w:lineRule="exact"/>
        <w:ind w:left="0" w:leftChars="0" w:right="0" w:rightChars="0" w:firstLine="2249" w:firstLineChars="700"/>
        <w:textAlignment w:val="auto"/>
        <w:rPr>
          <w:rFonts w:ascii="仿宋" w:hAnsi="仿宋" w:eastAsia="仿宋"/>
          <w:b/>
          <w:sz w:val="32"/>
          <w:szCs w:val="32"/>
        </w:rPr>
        <w:sectPr>
          <w:footerReference r:id="rId3" w:type="default"/>
          <w:pgSz w:w="11906" w:h="16838"/>
          <w:pgMar w:top="1440" w:right="1800" w:bottom="1440" w:left="1800" w:header="0" w:footer="720" w:gutter="0"/>
          <w:cols w:space="425" w:num="1"/>
          <w:docGrid w:type="lines" w:linePitch="312" w:charSpace="0"/>
        </w:sectPr>
      </w:pPr>
    </w:p>
    <w:p w14:paraId="50F351E6">
      <w:pPr>
        <w:pStyle w:val="30"/>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ascii="Times New Roman" w:hAnsi="Times New Roman" w:eastAsia="Times New Roman" w:cs="Times New Roman"/>
          <w:kern w:val="0"/>
          <w:sz w:val="24"/>
        </w:rPr>
      </w:pPr>
      <w:bookmarkStart w:id="0" w:name="a000"/>
      <w:r>
        <w:rPr>
          <w:rFonts w:ascii="FangSong_GB2312" w:hAnsi="FangSong_GB2312" w:eastAsia="FangSong_GB2312" w:cs="FangSong_GB2312"/>
          <w:b/>
          <w:bCs/>
          <w:kern w:val="0"/>
          <w:sz w:val="48"/>
          <w:szCs w:val="48"/>
        </w:rPr>
        <w:t>目录</w:t>
      </w:r>
    </w:p>
    <w:p w14:paraId="0C03B858">
      <w:pPr>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67E3B9B8">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第一部分</w:t>
      </w:r>
      <w:r>
        <w:rPr>
          <w:rFonts w:ascii="Calibri" w:hAnsi="Calibri" w:eastAsia="Calibri" w:cs="Calibri"/>
          <w:kern w:val="0"/>
          <w:sz w:val="32"/>
          <w:szCs w:val="32"/>
          <w:lang w:eastAsia="en-US"/>
        </w:rPr>
        <w:t> </w:t>
      </w:r>
      <w:r>
        <w:rPr>
          <w:rFonts w:ascii="黑体" w:hAnsi="黑体" w:eastAsia="黑体" w:cs="黑体"/>
          <w:kern w:val="0"/>
          <w:sz w:val="32"/>
          <w:szCs w:val="32"/>
          <w:lang w:eastAsia="en-US"/>
        </w:rPr>
        <w:t xml:space="preserve"> </w:t>
      </w:r>
      <w:r>
        <w:rPr>
          <w:rFonts w:ascii="黑体" w:hAnsi="黑体" w:eastAsia="黑体" w:cs="黑体"/>
          <w:kern w:val="0"/>
          <w:sz w:val="32"/>
          <w:szCs w:val="32"/>
        </w:rPr>
        <w:t>部门（单位）概况</w:t>
      </w:r>
    </w:p>
    <w:p w14:paraId="6C6FDDCF">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一、主要职能、职责</w:t>
      </w:r>
    </w:p>
    <w:p w14:paraId="3BA5E053">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二、部门（单位）机构设置及决算单位构成情况</w:t>
      </w:r>
    </w:p>
    <w:p w14:paraId="67DA0748">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三、</w:t>
      </w:r>
      <w:r>
        <w:rPr>
          <w:rFonts w:eastAsia="Times New Roman"/>
          <w:kern w:val="0"/>
          <w:sz w:val="32"/>
          <w:szCs w:val="32"/>
          <w:lang w:eastAsia="en-US"/>
        </w:rPr>
        <w:t>2025</w:t>
      </w:r>
      <w:r>
        <w:rPr>
          <w:rFonts w:ascii="FangSong_GB2312" w:hAnsi="FangSong_GB2312" w:eastAsia="FangSong_GB2312" w:cs="FangSong_GB2312"/>
          <w:kern w:val="0"/>
          <w:sz w:val="32"/>
          <w:szCs w:val="32"/>
        </w:rPr>
        <w:t>年度部门（单位）主要工作完成情况</w:t>
      </w:r>
    </w:p>
    <w:p w14:paraId="099C6A13">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第二部分</w:t>
      </w:r>
      <w:r>
        <w:rPr>
          <w:rFonts w:ascii="Calibri" w:hAnsi="Calibri" w:eastAsia="Calibri" w:cs="Calibri"/>
          <w:kern w:val="0"/>
          <w:sz w:val="32"/>
          <w:szCs w:val="32"/>
          <w:lang w:eastAsia="en-US"/>
        </w:rPr>
        <w:t> </w:t>
      </w:r>
      <w:r>
        <w:rPr>
          <w:rFonts w:ascii="黑体" w:hAnsi="黑体" w:eastAsia="黑体" w:cs="黑体"/>
          <w:kern w:val="0"/>
          <w:sz w:val="32"/>
          <w:szCs w:val="32"/>
          <w:lang w:eastAsia="en-US"/>
        </w:rPr>
        <w:t xml:space="preserve"> </w:t>
      </w:r>
      <w:r>
        <w:rPr>
          <w:rFonts w:ascii="黑体" w:hAnsi="黑体" w:eastAsia="黑体" w:cs="黑体"/>
          <w:kern w:val="0"/>
          <w:sz w:val="32"/>
          <w:szCs w:val="32"/>
        </w:rPr>
        <w:t>部门（单位）决算情况说明</w:t>
      </w:r>
    </w:p>
    <w:p w14:paraId="7AF5B17E">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一、收入支出决算总体情况说明</w:t>
      </w:r>
    </w:p>
    <w:p w14:paraId="4E062E69">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二、收入决算情况说明</w:t>
      </w:r>
    </w:p>
    <w:p w14:paraId="3555C582">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三、支出决算情况说明</w:t>
      </w:r>
    </w:p>
    <w:p w14:paraId="4BD28F45">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四、财政拨款收入支出决算总体情况说明</w:t>
      </w:r>
    </w:p>
    <w:p w14:paraId="124F4D75">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五、一般公共预算财政拨款支出决算情况说明</w:t>
      </w:r>
    </w:p>
    <w:p w14:paraId="429E33A1">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六、一般公共预算财政拨款基本支出决算情况说明</w:t>
      </w:r>
    </w:p>
    <w:p w14:paraId="5729B8DD">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七、一般公共预算财政拨款项目支出决算情况说明</w:t>
      </w:r>
    </w:p>
    <w:p w14:paraId="48777176">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八、财政拨款“三公”经费支出决算情况说明</w:t>
      </w:r>
    </w:p>
    <w:p w14:paraId="682E406C">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九、政府性基金预算财政拨款支出决算情况说明</w:t>
      </w:r>
    </w:p>
    <w:p w14:paraId="3A7737DC">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十、国有资本经营预算财政拨款支出决算情况说明</w:t>
      </w:r>
    </w:p>
    <w:p w14:paraId="48849FE6">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十一、机关运行经费（公用经费）支出决算情况说明</w:t>
      </w:r>
    </w:p>
    <w:p w14:paraId="4FB21E4C">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十二、政府采购支出决算情况说明</w:t>
      </w:r>
    </w:p>
    <w:p w14:paraId="054F88E9">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十三、国有资产占用情况说明</w:t>
      </w:r>
    </w:p>
    <w:p w14:paraId="412C9A96">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十四、预算绩效情况说明</w:t>
      </w:r>
    </w:p>
    <w:p w14:paraId="39773E02">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第三部分</w:t>
      </w:r>
      <w:r>
        <w:rPr>
          <w:rFonts w:ascii="Calibri" w:hAnsi="Calibri" w:eastAsia="Calibri" w:cs="Calibri"/>
          <w:kern w:val="0"/>
          <w:sz w:val="32"/>
          <w:szCs w:val="32"/>
          <w:lang w:eastAsia="en-US"/>
        </w:rPr>
        <w:t> </w:t>
      </w:r>
      <w:r>
        <w:rPr>
          <w:rFonts w:ascii="黑体" w:hAnsi="黑体" w:eastAsia="黑体" w:cs="黑体"/>
          <w:kern w:val="0"/>
          <w:sz w:val="32"/>
          <w:szCs w:val="32"/>
          <w:lang w:eastAsia="en-US"/>
        </w:rPr>
        <w:t xml:space="preserve"> </w:t>
      </w:r>
      <w:r>
        <w:rPr>
          <w:rFonts w:ascii="黑体" w:hAnsi="黑体" w:eastAsia="黑体" w:cs="黑体"/>
          <w:kern w:val="0"/>
          <w:sz w:val="32"/>
          <w:szCs w:val="32"/>
        </w:rPr>
        <w:t>名词解释</w:t>
      </w:r>
    </w:p>
    <w:p w14:paraId="1639CD9E">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第四部分</w:t>
      </w:r>
      <w:r>
        <w:rPr>
          <w:rFonts w:ascii="Calibri" w:hAnsi="Calibri" w:eastAsia="Calibri" w:cs="Calibri"/>
          <w:kern w:val="0"/>
          <w:sz w:val="32"/>
          <w:szCs w:val="32"/>
          <w:lang w:eastAsia="en-US"/>
        </w:rPr>
        <w:t> </w:t>
      </w:r>
      <w:r>
        <w:rPr>
          <w:rFonts w:ascii="黑体" w:hAnsi="黑体" w:eastAsia="黑体" w:cs="黑体"/>
          <w:kern w:val="0"/>
          <w:sz w:val="32"/>
          <w:szCs w:val="32"/>
          <w:lang w:eastAsia="en-US"/>
        </w:rPr>
        <w:t xml:space="preserve"> </w:t>
      </w:r>
      <w:r>
        <w:rPr>
          <w:rFonts w:ascii="黑体" w:hAnsi="黑体" w:eastAsia="黑体" w:cs="黑体"/>
          <w:kern w:val="0"/>
          <w:sz w:val="32"/>
          <w:szCs w:val="32"/>
        </w:rPr>
        <w:t>决算公开联系方式及信息反馈渠道</w:t>
      </w:r>
    </w:p>
    <w:p w14:paraId="30E96966">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黑体" w:hAnsi="黑体" w:eastAsia="黑体" w:cs="黑体"/>
          <w:kern w:val="0"/>
          <w:sz w:val="32"/>
          <w:szCs w:val="32"/>
        </w:rPr>
        <w:t>第五部分</w:t>
      </w:r>
      <w:r>
        <w:rPr>
          <w:rFonts w:ascii="Calibri" w:hAnsi="Calibri" w:eastAsia="Calibri" w:cs="Calibri"/>
          <w:kern w:val="0"/>
          <w:sz w:val="32"/>
          <w:szCs w:val="32"/>
          <w:lang w:eastAsia="en-US"/>
        </w:rPr>
        <w:t> </w:t>
      </w:r>
      <w:r>
        <w:rPr>
          <w:rFonts w:ascii="黑体" w:hAnsi="黑体" w:eastAsia="黑体" w:cs="黑体"/>
          <w:kern w:val="0"/>
          <w:sz w:val="32"/>
          <w:szCs w:val="32"/>
          <w:lang w:eastAsia="en-US"/>
        </w:rPr>
        <w:t xml:space="preserve"> </w:t>
      </w:r>
      <w:r>
        <w:rPr>
          <w:rFonts w:ascii="黑体" w:hAnsi="黑体" w:eastAsia="黑体" w:cs="黑体"/>
          <w:kern w:val="0"/>
          <w:sz w:val="32"/>
          <w:szCs w:val="32"/>
        </w:rPr>
        <w:t>部门（单位）决算表</w:t>
      </w:r>
    </w:p>
    <w:p w14:paraId="00ADF82C">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一、收入支出决算总表</w:t>
      </w:r>
    </w:p>
    <w:p w14:paraId="247ABD97">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二、收入决算表</w:t>
      </w:r>
    </w:p>
    <w:p w14:paraId="713B782E">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三、支出决算表</w:t>
      </w:r>
    </w:p>
    <w:p w14:paraId="3ED4DC18">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四、财政拨款收入支出决算总表</w:t>
      </w:r>
    </w:p>
    <w:p w14:paraId="1DFDAC4A">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五、一般公共预算财政拨款支出决算表</w:t>
      </w:r>
    </w:p>
    <w:p w14:paraId="005E0A17">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六、一般公共预算财政拨款基本支出决算明细表</w:t>
      </w:r>
    </w:p>
    <w:p w14:paraId="414C54DA">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七、一般公共预算财政拨款项目支出决算明细表</w:t>
      </w:r>
    </w:p>
    <w:p w14:paraId="18670681">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八、政府性基金预算财政拨款收入支出决算表</w:t>
      </w:r>
    </w:p>
    <w:p w14:paraId="7A1FA0D6">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九、国有资本经营预算财政拨款收入支出决算表</w:t>
      </w:r>
    </w:p>
    <w:p w14:paraId="47729685">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十、财政拨款“三公”经费支出决算表</w:t>
      </w:r>
    </w:p>
    <w:p w14:paraId="741EDAC5">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十一、机关运行经费支出、国有资产占用情况及政府采购支出信息表</w:t>
      </w:r>
    </w:p>
    <w:p w14:paraId="7EB4DF61">
      <w:pPr>
        <w:pStyle w:val="5"/>
        <w:keepNext w:val="0"/>
        <w:keepLines w:val="0"/>
        <w:pageBreakBefore w:val="0"/>
        <w:widowControl/>
        <w:kinsoku/>
        <w:wordWrap/>
        <w:overflowPunct/>
        <w:topLinePunct w:val="0"/>
        <w:autoSpaceDE/>
        <w:autoSpaceDN/>
        <w:bidi w:val="0"/>
        <w:spacing w:before="0" w:after="0" w:line="576" w:lineRule="exact"/>
        <w:ind w:left="0" w:leftChars="0" w:right="0" w:rightChars="0"/>
        <w:jc w:val="center"/>
        <w:textAlignment w:val="auto"/>
        <w:rPr>
          <w:rFonts w:ascii="Times New Roman" w:hAnsi="Times New Roman" w:eastAsia="Times New Roman" w:cs="Times New Roman"/>
          <w:b/>
          <w:bCs/>
          <w:kern w:val="0"/>
          <w:sz w:val="36"/>
          <w:szCs w:val="36"/>
        </w:rPr>
      </w:pPr>
      <w:r>
        <w:rPr>
          <w:rFonts w:ascii="方正小标宋简体" w:hAnsi="方正小标宋简体" w:eastAsia="方正小标宋简体" w:cs="方正小标宋简体"/>
          <w:b w:val="0"/>
          <w:bCs w:val="0"/>
          <w:kern w:val="0"/>
          <w:sz w:val="36"/>
          <w:szCs w:val="36"/>
        </w:rPr>
        <w:t>第一部分</w:t>
      </w:r>
      <w:r>
        <w:rPr>
          <w:rFonts w:ascii="方正小标宋简体" w:hAnsi="方正小标宋简体" w:eastAsia="方正小标宋简体" w:cs="方正小标宋简体"/>
          <w:b w:val="0"/>
          <w:bCs w:val="0"/>
          <w:kern w:val="0"/>
          <w:sz w:val="36"/>
          <w:szCs w:val="36"/>
          <w:lang w:eastAsia="en-US"/>
        </w:rPr>
        <w:t xml:space="preserve">  </w:t>
      </w:r>
      <w:r>
        <w:rPr>
          <w:rFonts w:ascii="方正小标宋简体" w:hAnsi="方正小标宋简体" w:eastAsia="方正小标宋简体" w:cs="方正小标宋简体"/>
          <w:b w:val="0"/>
          <w:bCs w:val="0"/>
          <w:kern w:val="0"/>
          <w:sz w:val="36"/>
          <w:szCs w:val="36"/>
        </w:rPr>
        <w:t>部门（单位）概况</w:t>
      </w:r>
    </w:p>
    <w:p w14:paraId="3392C647">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一、主要职能、职责</w:t>
      </w:r>
    </w:p>
    <w:p w14:paraId="120AB43A">
      <w:pPr>
        <w:keepNext w:val="0"/>
        <w:keepLines w:val="0"/>
        <w:pageBreakBefore w:val="0"/>
        <w:kinsoku/>
        <w:wordWrap/>
        <w:overflowPunct/>
        <w:topLinePunct w:val="0"/>
        <w:autoSpaceDE/>
        <w:autoSpaceDN/>
        <w:bidi w:val="0"/>
        <w:snapToGrid w:val="0"/>
        <w:spacing w:line="576" w:lineRule="exact"/>
        <w:ind w:left="0" w:leftChars="0" w:right="0" w:rightChars="0" w:firstLine="640"/>
        <w:textAlignment w:val="auto"/>
        <w:rPr>
          <w:rFonts w:ascii="楷体_GB2312" w:eastAsia="楷体_GB2312"/>
          <w:sz w:val="32"/>
          <w:szCs w:val="32"/>
        </w:rPr>
      </w:pPr>
      <w:r>
        <w:rPr>
          <w:rFonts w:hint="eastAsia" w:ascii="楷体_GB2312" w:eastAsia="楷体_GB2312"/>
          <w:sz w:val="32"/>
          <w:szCs w:val="32"/>
        </w:rPr>
        <w:t>（一）部门职能</w:t>
      </w:r>
    </w:p>
    <w:p w14:paraId="4D12099B">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呼伦贝尔市扎赉诺尔区人民检察院是国家的法律监督机关，其主要任务是履行法律监督职能。</w:t>
      </w:r>
    </w:p>
    <w:p w14:paraId="577376CB">
      <w:pPr>
        <w:keepNext w:val="0"/>
        <w:keepLines w:val="0"/>
        <w:pageBreakBefore w:val="0"/>
        <w:kinsoku/>
        <w:wordWrap/>
        <w:overflowPunct/>
        <w:topLinePunct w:val="0"/>
        <w:autoSpaceDE/>
        <w:autoSpaceDN/>
        <w:bidi w:val="0"/>
        <w:snapToGrid w:val="0"/>
        <w:spacing w:line="576" w:lineRule="exact"/>
        <w:ind w:left="0" w:leftChars="0" w:right="0" w:rightChars="0" w:firstLine="640"/>
        <w:textAlignment w:val="auto"/>
        <w:rPr>
          <w:rFonts w:ascii="楷体_GB2312" w:hAnsi="宋体" w:eastAsia="楷体_GB2312"/>
          <w:sz w:val="32"/>
          <w:szCs w:val="32"/>
        </w:rPr>
      </w:pPr>
      <w:r>
        <w:rPr>
          <w:rFonts w:hint="eastAsia" w:ascii="楷体_GB2312" w:eastAsia="楷体_GB2312"/>
          <w:sz w:val="32"/>
          <w:szCs w:val="32"/>
        </w:rPr>
        <w:t>（二）部门主要职责</w:t>
      </w:r>
    </w:p>
    <w:p w14:paraId="0E99662E">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1、贯彻执行上级人民检察院关于检察工作的指示、决定等。</w:t>
      </w:r>
    </w:p>
    <w:p w14:paraId="29D21FD7">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2、对刑事案件依法审查、批准逮捕，提起公诉。</w:t>
      </w:r>
    </w:p>
    <w:p w14:paraId="22768A2D">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3、依法开展立案监督、侦查监督、刑事审判监督、刑罚执行监督、民事审判和行政诉讼监督、公益诉讼等工作。</w:t>
      </w:r>
    </w:p>
    <w:p w14:paraId="48D4AB86">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4、受理单位和个人的控告申诉。</w:t>
      </w:r>
    </w:p>
    <w:p w14:paraId="33E38AAF">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5、负责扎赉诺尔区检察环节中社会治安综合治理工作。</w:t>
      </w:r>
    </w:p>
    <w:p w14:paraId="430CA2EE">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6、负责刑事案件的检验鉴定工作。</w:t>
      </w:r>
    </w:p>
    <w:p w14:paraId="427E7B96">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7、负责检察队伍建设和思想政治工作，按照干部管理权限依法管理检察官、检察辅助人员、检察行政人员；协助主管部门管理机关的机构编制；管理机关各内设机构、后勤服务机构；负责机关的党团工作。</w:t>
      </w:r>
    </w:p>
    <w:p w14:paraId="2ACCB934">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8、负责机关“两房”建设，管理本院经费、装备和物资等。</w:t>
      </w:r>
    </w:p>
    <w:p w14:paraId="0B7F1C8D">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9、负责其他应当由呼伦贝尔市扎赉诺尔区人民检察院承办的事项。</w:t>
      </w:r>
    </w:p>
    <w:p w14:paraId="1DF15EE8">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二、部门（单位）机构设置及决算单位构成情况</w:t>
      </w:r>
    </w:p>
    <w:p w14:paraId="072CD0AA">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en-US"/>
        </w:rPr>
        <w:t>1.</w:t>
      </w:r>
      <w:r>
        <w:rPr>
          <w:rFonts w:hint="eastAsia" w:ascii="仿宋_GB2312" w:hAnsi="仿宋_GB2312" w:eastAsia="仿宋_GB2312" w:cs="仿宋_GB2312"/>
          <w:color w:val="auto"/>
          <w:spacing w:val="6"/>
          <w:kern w:val="0"/>
          <w:sz w:val="32"/>
          <w:szCs w:val="32"/>
          <w:lang w:val="en-US" w:eastAsia="zh-CN"/>
        </w:rPr>
        <w:t>根据部门职责分工，本部门内设机构包括4个：第一检察部、第二检察部、第三检察部和综合行政部。呼伦贝尔市扎赉诺尔区人民检察院无下属单位。</w:t>
      </w:r>
    </w:p>
    <w:p w14:paraId="2918FC77">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en-US"/>
        </w:rPr>
        <w:t>2.</w:t>
      </w:r>
      <w:r>
        <w:rPr>
          <w:rFonts w:hint="eastAsia" w:ascii="仿宋_GB2312" w:hAnsi="仿宋_GB2312" w:eastAsia="仿宋_GB2312" w:cs="仿宋_GB2312"/>
          <w:color w:val="auto"/>
          <w:spacing w:val="6"/>
          <w:kern w:val="0"/>
          <w:sz w:val="32"/>
          <w:szCs w:val="32"/>
          <w:lang w:val="en-US" w:eastAsia="zh-CN"/>
        </w:rPr>
        <w:t>从决算单位构成看，纳入本财政汇总决算编制范围的预算单位共计1家，具体包括呼伦贝尔市扎赉诺尔区人民检察院。详细情况见表：</w:t>
      </w:r>
    </w:p>
    <w:tbl>
      <w:tblPr>
        <w:tblStyle w:val="20"/>
        <w:tblW w:w="6880" w:type="dxa"/>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566"/>
        <w:gridCol w:w="3173"/>
        <w:gridCol w:w="3141"/>
      </w:tblGrid>
      <w:tr w14:paraId="335D0A4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jc w:val="center"/>
        </w:trPr>
        <w:tc>
          <w:tcPr>
            <w:tcW w:w="566" w:type="dxa"/>
            <w:tcBorders>
              <w:bottom w:val="inset" w:color="808080" w:sz="6" w:space="0"/>
              <w:right w:val="inset" w:color="808080" w:sz="6" w:space="0"/>
            </w:tcBorders>
            <w:tcMar>
              <w:top w:w="22" w:type="dxa"/>
              <w:left w:w="22" w:type="dxa"/>
              <w:bottom w:w="22" w:type="dxa"/>
              <w:right w:w="22" w:type="dxa"/>
            </w:tcMar>
            <w:vAlign w:val="center"/>
          </w:tcPr>
          <w:p w14:paraId="0C4E9681">
            <w:pPr>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eastAsia="Times New Roman"/>
                <w:color w:val="000000"/>
                <w:kern w:val="0"/>
                <w:sz w:val="24"/>
              </w:rPr>
            </w:pPr>
            <w:r>
              <w:rPr>
                <w:rFonts w:ascii="fang_song_gb2312" w:hAnsi="fang_song_gb2312" w:eastAsia="fang_song_gb2312" w:cs="fang_song_gb2312"/>
                <w:color w:val="000000"/>
                <w:kern w:val="0"/>
                <w:sz w:val="24"/>
              </w:rPr>
              <w:t>序号</w:t>
            </w:r>
          </w:p>
        </w:tc>
        <w:tc>
          <w:tcPr>
            <w:tcW w:w="3173" w:type="dxa"/>
            <w:tcBorders>
              <w:left w:val="inset" w:color="808080" w:sz="6" w:space="0"/>
              <w:bottom w:val="inset" w:color="808080" w:sz="6" w:space="0"/>
              <w:right w:val="inset" w:color="808080" w:sz="6" w:space="0"/>
            </w:tcBorders>
            <w:tcMar>
              <w:top w:w="22" w:type="dxa"/>
              <w:left w:w="22" w:type="dxa"/>
              <w:bottom w:w="22" w:type="dxa"/>
              <w:right w:w="22" w:type="dxa"/>
            </w:tcMar>
            <w:vAlign w:val="center"/>
          </w:tcPr>
          <w:p w14:paraId="158D1882">
            <w:pPr>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eastAsia="Times New Roman"/>
                <w:color w:val="000000"/>
                <w:kern w:val="0"/>
                <w:sz w:val="24"/>
              </w:rPr>
            </w:pPr>
            <w:r>
              <w:rPr>
                <w:rFonts w:ascii="fang_song_gb2312" w:hAnsi="fang_song_gb2312" w:eastAsia="fang_song_gb2312" w:cs="fang_song_gb2312"/>
                <w:color w:val="000000"/>
                <w:kern w:val="0"/>
                <w:sz w:val="24"/>
              </w:rPr>
              <w:t>单位名称</w:t>
            </w:r>
          </w:p>
        </w:tc>
        <w:tc>
          <w:tcPr>
            <w:tcW w:w="3141" w:type="dxa"/>
            <w:tcBorders>
              <w:left w:val="inset" w:color="808080" w:sz="6" w:space="0"/>
              <w:bottom w:val="inset" w:color="808080" w:sz="6" w:space="0"/>
            </w:tcBorders>
            <w:tcMar>
              <w:top w:w="22" w:type="dxa"/>
              <w:left w:w="22" w:type="dxa"/>
              <w:bottom w:w="22" w:type="dxa"/>
              <w:right w:w="22" w:type="dxa"/>
            </w:tcMar>
            <w:vAlign w:val="center"/>
          </w:tcPr>
          <w:p w14:paraId="49010404">
            <w:pPr>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eastAsia="Times New Roman"/>
                <w:color w:val="000000"/>
                <w:kern w:val="0"/>
                <w:sz w:val="24"/>
              </w:rPr>
            </w:pPr>
            <w:r>
              <w:rPr>
                <w:rFonts w:ascii="fang_song_gb2312" w:hAnsi="fang_song_gb2312" w:eastAsia="fang_song_gb2312" w:cs="fang_song_gb2312"/>
                <w:color w:val="000000"/>
                <w:kern w:val="0"/>
                <w:sz w:val="24"/>
              </w:rPr>
              <w:t>单位性质</w:t>
            </w:r>
          </w:p>
        </w:tc>
      </w:tr>
      <w:tr w14:paraId="0AD1523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9" w:hRule="atLeast"/>
          <w:jc w:val="center"/>
        </w:trPr>
        <w:tc>
          <w:tcPr>
            <w:tcW w:w="566" w:type="dxa"/>
            <w:tcBorders>
              <w:top w:val="inset" w:color="808080" w:sz="6" w:space="0"/>
              <w:bottom w:val="inset" w:color="808080" w:sz="6" w:space="0"/>
              <w:right w:val="inset" w:color="808080" w:sz="6" w:space="0"/>
            </w:tcBorders>
            <w:tcMar>
              <w:top w:w="22" w:type="dxa"/>
              <w:left w:w="22" w:type="dxa"/>
              <w:bottom w:w="22" w:type="dxa"/>
              <w:right w:w="22" w:type="dxa"/>
            </w:tcMar>
            <w:vAlign w:val="center"/>
          </w:tcPr>
          <w:p w14:paraId="6F4DF16F">
            <w:pPr>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eastAsia="Times New Roman"/>
                <w:color w:val="000000"/>
                <w:kern w:val="0"/>
                <w:sz w:val="24"/>
              </w:rPr>
            </w:pPr>
            <w:r>
              <w:rPr>
                <w:rFonts w:ascii="fang_song_gb2312" w:hAnsi="fang_song_gb2312" w:eastAsia="fang_song_gb2312" w:cs="fang_song_gb2312"/>
                <w:color w:val="000000"/>
                <w:kern w:val="0"/>
                <w:sz w:val="24"/>
              </w:rPr>
              <w:t>1</w:t>
            </w:r>
          </w:p>
        </w:tc>
        <w:tc>
          <w:tcPr>
            <w:tcW w:w="317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972BC00">
            <w:pPr>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eastAsia="Times New Roman"/>
                <w:color w:val="000000"/>
                <w:kern w:val="0"/>
                <w:sz w:val="24"/>
              </w:rPr>
            </w:pPr>
            <w:r>
              <w:rPr>
                <w:rFonts w:hint="eastAsia" w:ascii="fang_song_gb2312" w:hAnsi="fang_song_gb2312" w:eastAsia="fang_song_gb2312" w:cs="fang_song_gb2312"/>
                <w:color w:val="000000"/>
                <w:kern w:val="0"/>
                <w:sz w:val="24"/>
              </w:rPr>
              <w:t>呼伦贝尔市扎赉诺尔区人民检察院。</w:t>
            </w:r>
          </w:p>
        </w:tc>
        <w:tc>
          <w:tcPr>
            <w:tcW w:w="3141" w:type="dxa"/>
            <w:tcBorders>
              <w:top w:val="inset" w:color="808080" w:sz="6" w:space="0"/>
              <w:left w:val="inset" w:color="808080" w:sz="6" w:space="0"/>
              <w:bottom w:val="inset" w:color="808080" w:sz="6" w:space="0"/>
            </w:tcBorders>
            <w:tcMar>
              <w:top w:w="22" w:type="dxa"/>
              <w:left w:w="22" w:type="dxa"/>
              <w:bottom w:w="22" w:type="dxa"/>
              <w:right w:w="22" w:type="dxa"/>
            </w:tcMar>
            <w:vAlign w:val="center"/>
          </w:tcPr>
          <w:p w14:paraId="5B23D64C">
            <w:pPr>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eastAsia="Times New Roman"/>
                <w:color w:val="000000"/>
                <w:kern w:val="0"/>
                <w:sz w:val="24"/>
              </w:rPr>
            </w:pPr>
            <w:r>
              <w:rPr>
                <w:rFonts w:ascii="fang_song_gb2312" w:hAnsi="fang_song_gb2312" w:eastAsia="fang_song_gb2312" w:cs="fang_song_gb2312"/>
                <w:color w:val="000000"/>
                <w:kern w:val="0"/>
                <w:sz w:val="24"/>
              </w:rPr>
              <w:t>财政拨款的行政单位</w:t>
            </w:r>
          </w:p>
        </w:tc>
      </w:tr>
    </w:tbl>
    <w:p w14:paraId="1D24324B">
      <w:pPr>
        <w:pStyle w:val="30"/>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p>
    <w:p w14:paraId="6DCAB345">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三、</w:t>
      </w:r>
      <w:r>
        <w:rPr>
          <w:rFonts w:eastAsia="Times New Roman"/>
          <w:b/>
          <w:bCs/>
          <w:kern w:val="0"/>
          <w:sz w:val="32"/>
          <w:szCs w:val="32"/>
          <w:lang w:eastAsia="en-US"/>
        </w:rPr>
        <w:t>2025</w:t>
      </w:r>
      <w:r>
        <w:rPr>
          <w:rFonts w:ascii="黑体" w:hAnsi="黑体" w:eastAsia="黑体" w:cs="黑体"/>
          <w:b/>
          <w:bCs/>
          <w:kern w:val="0"/>
          <w:sz w:val="32"/>
          <w:szCs w:val="32"/>
        </w:rPr>
        <w:t>年度部门（单位）主要工作完成情况</w:t>
      </w:r>
    </w:p>
    <w:p w14:paraId="34687371">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color w:val="auto"/>
          <w:spacing w:val="6"/>
          <w:kern w:val="0"/>
          <w:sz w:val="32"/>
          <w:szCs w:val="32"/>
          <w:lang w:val="en-US" w:eastAsia="zh-CN"/>
        </w:rPr>
        <w:t>2025年，扎赉诺尔区人民检察院在区委和上级院的坚强领导下，坚持以习近平新时代中国特色社会主义思想为指导，学深悟透习近平法治思想，全面贯彻四中全会精神，深入贯彻落实习近平总书记对内蒙古的重要指示精神，锚定总书记交给内蒙古的“两件大事”，紧紧围绕党和国家工作大局，立足筑牢祖国北疆安全稳定屏障战略定位，忠实履行宪法和法律赋予的职责，做实“高质效办好每一个案件”。各项检察工作取得新进展。</w:t>
      </w:r>
    </w:p>
    <w:p w14:paraId="48490C4B">
      <w:pPr>
        <w:pStyle w:val="5"/>
        <w:keepNext w:val="0"/>
        <w:keepLines w:val="0"/>
        <w:pageBreakBefore w:val="0"/>
        <w:widowControl/>
        <w:kinsoku/>
        <w:wordWrap/>
        <w:overflowPunct/>
        <w:topLinePunct w:val="0"/>
        <w:autoSpaceDE/>
        <w:autoSpaceDN/>
        <w:bidi w:val="0"/>
        <w:spacing w:before="0" w:after="0" w:line="576" w:lineRule="exact"/>
        <w:ind w:left="0" w:leftChars="0" w:right="0" w:rightChars="0"/>
        <w:jc w:val="center"/>
        <w:textAlignment w:val="auto"/>
        <w:rPr>
          <w:rFonts w:ascii="Times New Roman" w:hAnsi="Times New Roman" w:eastAsia="Times New Roman" w:cs="Times New Roman"/>
          <w:b/>
          <w:bCs/>
          <w:kern w:val="0"/>
          <w:sz w:val="36"/>
          <w:szCs w:val="36"/>
        </w:rPr>
      </w:pPr>
      <w:r>
        <w:rPr>
          <w:rFonts w:ascii="方正小标宋简体" w:hAnsi="方正小标宋简体" w:eastAsia="方正小标宋简体" w:cs="方正小标宋简体"/>
          <w:kern w:val="0"/>
          <w:sz w:val="36"/>
          <w:szCs w:val="36"/>
        </w:rPr>
        <w:t>第二部分</w:t>
      </w:r>
      <w:r>
        <w:rPr>
          <w:rFonts w:ascii="Times New Roman" w:hAnsi="Times New Roman" w:eastAsia="Times New Roman" w:cs="Times New Roman"/>
          <w:kern w:val="0"/>
          <w:sz w:val="36"/>
          <w:szCs w:val="36"/>
        </w:rPr>
        <w:t> </w:t>
      </w:r>
      <w:r>
        <w:rPr>
          <w:rFonts w:ascii="方正小标宋简体" w:hAnsi="方正小标宋简体" w:eastAsia="方正小标宋简体" w:cs="方正小标宋简体"/>
          <w:b w:val="0"/>
          <w:bCs w:val="0"/>
          <w:kern w:val="0"/>
          <w:sz w:val="36"/>
          <w:szCs w:val="36"/>
        </w:rPr>
        <w:t xml:space="preserve"> </w:t>
      </w:r>
      <w:r>
        <w:rPr>
          <w:rFonts w:ascii="方正小标宋简体" w:hAnsi="方正小标宋简体" w:eastAsia="方正小标宋简体" w:cs="方正小标宋简体"/>
          <w:kern w:val="0"/>
          <w:sz w:val="36"/>
          <w:szCs w:val="36"/>
        </w:rPr>
        <w:t>部门（单位）决算情况说明</w:t>
      </w:r>
    </w:p>
    <w:p w14:paraId="58D2C7F9">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一、收入支出决算总体情况说明</w:t>
      </w:r>
    </w:p>
    <w:p w14:paraId="571DC7F5">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zh-CN"/>
        </w:rPr>
      </w:pPr>
      <w:r>
        <w:rPr>
          <w:rFonts w:hint="eastAsia" w:ascii="仿宋_GB2312" w:hAnsi="仿宋_GB2312" w:eastAsia="仿宋_GB2312" w:cs="仿宋_GB2312"/>
          <w:color w:val="auto"/>
          <w:spacing w:val="6"/>
          <w:kern w:val="0"/>
          <w:sz w:val="32"/>
          <w:szCs w:val="32"/>
          <w:lang w:val="en-US" w:eastAsia="zh-CN"/>
        </w:rPr>
        <w:t xml:space="preserve">呼伦贝尔市扎赉诺尔区人民检察院 </w:t>
      </w:r>
      <w:r>
        <w:rPr>
          <w:rFonts w:hint="eastAsia" w:ascii="仿宋_GB2312" w:hAnsi="仿宋_GB2312" w:eastAsia="仿宋_GB2312" w:cs="仿宋_GB2312"/>
          <w:color w:val="auto"/>
          <w:spacing w:val="6"/>
          <w:kern w:val="0"/>
          <w:sz w:val="32"/>
          <w:szCs w:val="32"/>
          <w:lang w:val="en-US" w:eastAsia="en-US"/>
        </w:rPr>
        <w:t>2025</w:t>
      </w:r>
      <w:r>
        <w:rPr>
          <w:rFonts w:hint="eastAsia" w:ascii="仿宋_GB2312" w:hAnsi="仿宋_GB2312" w:eastAsia="仿宋_GB2312" w:cs="仿宋_GB2312"/>
          <w:color w:val="auto"/>
          <w:spacing w:val="6"/>
          <w:kern w:val="0"/>
          <w:sz w:val="32"/>
          <w:szCs w:val="32"/>
          <w:lang w:val="en-US" w:eastAsia="zh-CN"/>
        </w:rPr>
        <w:t>年度收入、支出决算总计均为</w:t>
      </w:r>
      <w:r>
        <w:rPr>
          <w:rFonts w:hint="eastAsia" w:ascii="仿宋_GB2312" w:hAnsi="仿宋_GB2312" w:eastAsia="仿宋_GB2312" w:cs="仿宋_GB2312"/>
          <w:color w:val="auto"/>
          <w:spacing w:val="6"/>
          <w:kern w:val="0"/>
          <w:sz w:val="32"/>
          <w:szCs w:val="32"/>
          <w:lang w:val="en-US" w:eastAsia="en-US"/>
        </w:rPr>
        <w:t xml:space="preserve"> 675.30</w:t>
      </w:r>
      <w:r>
        <w:rPr>
          <w:rFonts w:hint="eastAsia" w:ascii="仿宋_GB2312" w:hAnsi="仿宋_GB2312" w:eastAsia="仿宋_GB2312" w:cs="仿宋_GB2312"/>
          <w:color w:val="auto"/>
          <w:spacing w:val="6"/>
          <w:kern w:val="0"/>
          <w:sz w:val="32"/>
          <w:szCs w:val="32"/>
          <w:lang w:val="en-US" w:eastAsia="zh-CN"/>
        </w:rPr>
        <w:t>万元。与年初预算相比，收、支总计各增加</w:t>
      </w:r>
      <w:r>
        <w:rPr>
          <w:rFonts w:hint="eastAsia" w:ascii="仿宋_GB2312" w:hAnsi="仿宋_GB2312" w:eastAsia="仿宋_GB2312" w:cs="仿宋_GB2312"/>
          <w:color w:val="auto"/>
          <w:spacing w:val="6"/>
          <w:kern w:val="0"/>
          <w:sz w:val="32"/>
          <w:szCs w:val="32"/>
          <w:lang w:val="en-US" w:eastAsia="en-US"/>
        </w:rPr>
        <w:t xml:space="preserve"> 67.98</w:t>
      </w:r>
      <w:r>
        <w:rPr>
          <w:rFonts w:hint="eastAsia" w:ascii="仿宋_GB2312" w:hAnsi="仿宋_GB2312" w:eastAsia="仿宋_GB2312" w:cs="仿宋_GB2312"/>
          <w:color w:val="auto"/>
          <w:spacing w:val="6"/>
          <w:kern w:val="0"/>
          <w:sz w:val="32"/>
          <w:szCs w:val="32"/>
          <w:lang w:val="en-US" w:eastAsia="zh-CN"/>
        </w:rPr>
        <w:t>万元，增长</w:t>
      </w:r>
      <w:r>
        <w:rPr>
          <w:rFonts w:hint="eastAsia" w:ascii="仿宋_GB2312" w:hAnsi="仿宋_GB2312" w:eastAsia="仿宋_GB2312" w:cs="仿宋_GB2312"/>
          <w:color w:val="auto"/>
          <w:spacing w:val="6"/>
          <w:kern w:val="0"/>
          <w:sz w:val="32"/>
          <w:szCs w:val="32"/>
          <w:lang w:val="en-US" w:eastAsia="en-US"/>
        </w:rPr>
        <w:t xml:space="preserve"> 11.19%</w:t>
      </w:r>
      <w:r>
        <w:rPr>
          <w:rFonts w:hint="eastAsia" w:ascii="仿宋_GB2312" w:hAnsi="仿宋_GB2312" w:eastAsia="仿宋_GB2312" w:cs="仿宋_GB2312"/>
          <w:color w:val="auto"/>
          <w:spacing w:val="6"/>
          <w:kern w:val="0"/>
          <w:sz w:val="32"/>
          <w:szCs w:val="32"/>
          <w:lang w:val="en-US" w:eastAsia="zh-CN"/>
        </w:rPr>
        <w:t>，变动原因：本年度有1名退休人员丧葬费和抚恤金由当地财政增加拨款；与上年决算相比，收、支总计各增加</w:t>
      </w:r>
      <w:r>
        <w:rPr>
          <w:rFonts w:hint="eastAsia" w:ascii="仿宋_GB2312" w:hAnsi="仿宋_GB2312" w:eastAsia="仿宋_GB2312" w:cs="仿宋_GB2312"/>
          <w:color w:val="auto"/>
          <w:spacing w:val="6"/>
          <w:kern w:val="0"/>
          <w:sz w:val="32"/>
          <w:szCs w:val="32"/>
          <w:lang w:val="en-US" w:eastAsia="en-US"/>
        </w:rPr>
        <w:t xml:space="preserve"> 52.78</w:t>
      </w:r>
      <w:r>
        <w:rPr>
          <w:rFonts w:hint="eastAsia" w:ascii="仿宋_GB2312" w:hAnsi="仿宋_GB2312" w:eastAsia="仿宋_GB2312" w:cs="仿宋_GB2312"/>
          <w:color w:val="auto"/>
          <w:spacing w:val="6"/>
          <w:kern w:val="0"/>
          <w:sz w:val="32"/>
          <w:szCs w:val="32"/>
          <w:lang w:val="en-US" w:eastAsia="zh-CN"/>
        </w:rPr>
        <w:t>万元，增长</w:t>
      </w:r>
      <w:r>
        <w:rPr>
          <w:rFonts w:hint="eastAsia" w:ascii="仿宋_GB2312" w:hAnsi="仿宋_GB2312" w:eastAsia="仿宋_GB2312" w:cs="仿宋_GB2312"/>
          <w:color w:val="auto"/>
          <w:spacing w:val="6"/>
          <w:kern w:val="0"/>
          <w:sz w:val="32"/>
          <w:szCs w:val="32"/>
          <w:lang w:val="en-US" w:eastAsia="en-US"/>
        </w:rPr>
        <w:t>8.48%</w:t>
      </w:r>
      <w:r>
        <w:rPr>
          <w:rFonts w:hint="eastAsia" w:ascii="仿宋_GB2312" w:hAnsi="仿宋_GB2312" w:eastAsia="仿宋_GB2312" w:cs="仿宋_GB2312"/>
          <w:color w:val="auto"/>
          <w:spacing w:val="6"/>
          <w:kern w:val="0"/>
          <w:sz w:val="32"/>
          <w:szCs w:val="32"/>
          <w:lang w:val="en-US" w:eastAsia="zh-CN"/>
        </w:rPr>
        <w:t>。其中：</w:t>
      </w:r>
    </w:p>
    <w:p w14:paraId="15A887C4">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（一）收入决算总计</w:t>
      </w:r>
      <w:r>
        <w:rPr>
          <w:rFonts w:eastAsia="Times New Roman"/>
          <w:b/>
          <w:bCs/>
          <w:kern w:val="0"/>
          <w:sz w:val="32"/>
          <w:szCs w:val="32"/>
          <w:u w:val="single"/>
          <w:lang w:eastAsia="en-US"/>
        </w:rPr>
        <w:t xml:space="preserve"> 675.30</w:t>
      </w:r>
      <w:r>
        <w:rPr>
          <w:rFonts w:ascii="楷体" w:hAnsi="楷体" w:eastAsia="楷体" w:cs="楷体"/>
          <w:b/>
          <w:bCs/>
          <w:kern w:val="0"/>
          <w:sz w:val="32"/>
          <w:szCs w:val="32"/>
        </w:rPr>
        <w:t>万元。包括：</w:t>
      </w:r>
    </w:p>
    <w:p w14:paraId="154914DB">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1.本年收入决算合计 675.30万元。与上年决算相比，增加 52.78万元，增长 8.48%，变动原因：</w:t>
      </w:r>
      <w:r>
        <w:rPr>
          <w:rFonts w:hint="eastAsia" w:ascii="仿宋_GB2312" w:hAnsi="仿宋_GB2312" w:eastAsia="仿宋_GB2312" w:cs="仿宋_GB2312"/>
          <w:color w:val="auto"/>
          <w:spacing w:val="6"/>
          <w:kern w:val="0"/>
          <w:sz w:val="32"/>
          <w:szCs w:val="32"/>
          <w:lang w:val="en-US" w:eastAsia="zh-CN"/>
        </w:rPr>
        <w:t>本年度有1名退休人员丧葬费由当地财政拨款。</w:t>
      </w:r>
    </w:p>
    <w:p w14:paraId="78A2F054">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2.使用非财政拨款结余（含专用结余） 0万元。与上年决算相比，增加0万元，增长0%，变动原因：不存在此项内容。</w:t>
      </w:r>
    </w:p>
    <w:p w14:paraId="6F930036">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3.年初结转和结余 0万元。与上年决算相比，增加 0万元，增长 0%，变动原因：不存在此项内容。</w:t>
      </w:r>
    </w:p>
    <w:p w14:paraId="2C130AF7">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（二）支出决算总计</w:t>
      </w:r>
      <w:r>
        <w:rPr>
          <w:rFonts w:eastAsia="Times New Roman"/>
          <w:b/>
          <w:bCs/>
          <w:kern w:val="0"/>
          <w:sz w:val="32"/>
          <w:szCs w:val="32"/>
          <w:u w:val="single"/>
          <w:lang w:eastAsia="en-US"/>
        </w:rPr>
        <w:t xml:space="preserve"> 675.30</w:t>
      </w:r>
      <w:r>
        <w:rPr>
          <w:rFonts w:ascii="楷体" w:hAnsi="楷体" w:eastAsia="楷体" w:cs="楷体"/>
          <w:b/>
          <w:bCs/>
          <w:kern w:val="0"/>
          <w:sz w:val="32"/>
          <w:szCs w:val="32"/>
        </w:rPr>
        <w:t>万元。包括：</w:t>
      </w:r>
    </w:p>
    <w:p w14:paraId="5DD046B3">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1.本年支出决算合计 675.30万元。与上年决算相比，增加 52.78万元，增长 8.48%，变动原因：</w:t>
      </w:r>
      <w:r>
        <w:rPr>
          <w:rFonts w:hint="eastAsia" w:ascii="仿宋_GB2312" w:hAnsi="仿宋_GB2312" w:eastAsia="仿宋_GB2312" w:cs="仿宋_GB2312"/>
          <w:color w:val="auto"/>
          <w:spacing w:val="6"/>
          <w:kern w:val="0"/>
          <w:sz w:val="32"/>
          <w:szCs w:val="32"/>
          <w:lang w:val="en-US" w:eastAsia="zh-CN"/>
        </w:rPr>
        <w:t>本年度有1名退休人员丧葬费由当地财政拨款。</w:t>
      </w:r>
    </w:p>
    <w:p w14:paraId="318AAB0E">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2.结余分配 0万元。结余分配事项：不存在此项内容。与上年决算相比，增加 0万元，增长 0%，变动原因：不存在此项内容。</w:t>
      </w:r>
    </w:p>
    <w:p w14:paraId="2D8CD597">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color w:val="auto"/>
          <w:spacing w:val="6"/>
          <w:kern w:val="0"/>
          <w:sz w:val="32"/>
          <w:szCs w:val="32"/>
          <w:lang w:val="en-US" w:eastAsia="en-US"/>
        </w:rPr>
        <w:t>3.年末结转和结余 0万元。结转和结余事项：不存在此项内容。与上年决算相比，增加 0万元，增长0%，变动原因：不存在此项内容。</w:t>
      </w:r>
    </w:p>
    <w:p w14:paraId="017BEDA1">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二、收入决算情况说明</w:t>
      </w:r>
    </w:p>
    <w:p w14:paraId="26E2E38E">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呼伦贝尔市扎赉诺尔区人民检察院 2025年度本年收入决算合计 675.30万元，其中：</w:t>
      </w:r>
    </w:p>
    <w:p w14:paraId="635938CA">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一般公共预算财政拨款收入 613.68万元，占 90.88%；</w:t>
      </w:r>
    </w:p>
    <w:p w14:paraId="2EB46A80">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政府性基金预算财政拨款收入 0万元，占 0%；</w:t>
      </w:r>
    </w:p>
    <w:p w14:paraId="74D39181">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国有资本经营预算财政拨款收入 0万元，占 0%；</w:t>
      </w:r>
    </w:p>
    <w:p w14:paraId="46A82983">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上级补助收入 0万元，占 0%；</w:t>
      </w:r>
    </w:p>
    <w:p w14:paraId="645A83E1">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事业收入 0万元，占 0%；</w:t>
      </w:r>
    </w:p>
    <w:p w14:paraId="5E8BC84F">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经营收入 0万元，占 0%；</w:t>
      </w:r>
    </w:p>
    <w:p w14:paraId="76EA0A41">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附属单位上缴收入 0万元，占 0%；</w:t>
      </w:r>
    </w:p>
    <w:p w14:paraId="26474B3E">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其他收入 61.62万元，占 9.12%。</w:t>
      </w:r>
    </w:p>
    <w:p w14:paraId="25ED7C0E">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p>
    <w:p w14:paraId="1BFBB308">
      <w:pPr>
        <w:pStyle w:val="2"/>
        <w:rPr>
          <w:rFonts w:ascii="Times New Roman" w:hAnsi="Times New Roman" w:eastAsia="Times New Roman" w:cs="Times New Roman"/>
          <w:kern w:val="0"/>
          <w:sz w:val="24"/>
        </w:rPr>
      </w:pPr>
      <w:r>
        <w:rPr>
          <w:rFonts w:hint="eastAsia" w:ascii="Times New Roman" w:hAnsi="Times New Roman" w:eastAsia="宋体" w:cs="Times New Roman"/>
          <w:kern w:val="0"/>
          <w:sz w:val="24"/>
          <w:lang w:eastAsia="zh-CN"/>
        </w:rPr>
        <w:drawing>
          <wp:inline distT="0" distB="0" distL="114300" distR="114300">
            <wp:extent cx="4368800" cy="2794635"/>
            <wp:effectExtent l="4445" t="4445" r="8255"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80E1411">
      <w:pPr>
        <w:pStyle w:val="2"/>
        <w:ind w:left="0" w:leftChars="0" w:firstLine="0" w:firstLineChars="0"/>
        <w:rPr>
          <w:rFonts w:ascii="Times New Roman" w:hAnsi="Times New Roman" w:eastAsia="Times New Roman" w:cs="Times New Roman"/>
          <w:kern w:val="0"/>
          <w:sz w:val="24"/>
        </w:rPr>
      </w:pPr>
    </w:p>
    <w:p w14:paraId="71CDE4B7">
      <w:pPr>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27"/>
          <w:szCs w:val="27"/>
        </w:rPr>
        <w:t>图</w:t>
      </w:r>
      <w:r>
        <w:rPr>
          <w:rFonts w:ascii="times_new_roman" w:hAnsi="times_new_roman" w:eastAsia="times_new_roman" w:cs="times_new_roman"/>
          <w:kern w:val="0"/>
          <w:sz w:val="27"/>
          <w:szCs w:val="27"/>
        </w:rPr>
        <w:t>1</w:t>
      </w:r>
      <w:r>
        <w:rPr>
          <w:rFonts w:ascii="FangSong_GB2312" w:hAnsi="FangSong_GB2312" w:eastAsia="FangSong_GB2312" w:cs="FangSong_GB2312"/>
          <w:kern w:val="0"/>
          <w:sz w:val="27"/>
          <w:szCs w:val="27"/>
        </w:rPr>
        <w:t>.收入决算图</w:t>
      </w:r>
    </w:p>
    <w:p w14:paraId="1080011F">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三、支出决算情况说明</w:t>
      </w:r>
    </w:p>
    <w:p w14:paraId="1C9ABA49">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呼伦贝尔市扎赉诺尔区人民检察院 2025年度本年支出决算合计 675.30万元，其中：</w:t>
      </w:r>
    </w:p>
    <w:p w14:paraId="6837313C">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基本支出 452.77万元，占 67.05%；</w:t>
      </w:r>
    </w:p>
    <w:p w14:paraId="672DFF79">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项目支出 222.53万元，占 32.95%；</w:t>
      </w:r>
    </w:p>
    <w:p w14:paraId="7E0E56B0">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上缴上级支出 0万元，占 0%；</w:t>
      </w:r>
    </w:p>
    <w:p w14:paraId="6B156864">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经营支出 0万元，占 0%；</w:t>
      </w:r>
    </w:p>
    <w:p w14:paraId="628147A0">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对附属单位补助支出 0万元，占 0%。</w:t>
      </w:r>
    </w:p>
    <w:p w14:paraId="42F6D691">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p>
    <w:p w14:paraId="0BEA031E">
      <w:pPr>
        <w:pStyle w:val="2"/>
        <w:rPr>
          <w:rFonts w:ascii="Times New Roman" w:hAnsi="Times New Roman" w:eastAsia="Times New Roman" w:cs="Times New Roman"/>
          <w:kern w:val="0"/>
          <w:sz w:val="24"/>
        </w:rPr>
      </w:pPr>
      <w:r>
        <w:rPr>
          <w:rFonts w:hint="eastAsia" w:ascii="Times New Roman" w:hAnsi="Times New Roman" w:eastAsia="宋体" w:cs="Times New Roman"/>
          <w:strike w:val="0"/>
          <w:kern w:val="0"/>
          <w:sz w:val="24"/>
          <w:u w:val="none"/>
          <w:lang w:eastAsia="zh-CN"/>
        </w:rPr>
        <w:drawing>
          <wp:inline distT="0" distB="0" distL="114300" distR="114300">
            <wp:extent cx="4381500" cy="2445385"/>
            <wp:effectExtent l="4445" t="4445" r="8255"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9B04613">
      <w:pPr>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27"/>
          <w:szCs w:val="27"/>
        </w:rPr>
        <w:t>图2.支出决算图</w:t>
      </w:r>
    </w:p>
    <w:p w14:paraId="3D7B2ED7">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四、财政拨款收入支出决算总体情况说明</w:t>
      </w:r>
    </w:p>
    <w:p w14:paraId="2C831AC9">
      <w:pPr>
        <w:keepNext w:val="0"/>
        <w:keepLines w:val="0"/>
        <w:pageBreakBefore w:val="0"/>
        <w:widowControl/>
        <w:kinsoku/>
        <w:wordWrap/>
        <w:overflowPunct/>
        <w:topLinePunct w:val="0"/>
        <w:autoSpaceDE/>
        <w:autoSpaceDN/>
        <w:bidi w:val="0"/>
        <w:spacing w:line="576" w:lineRule="exact"/>
        <w:ind w:left="0" w:leftChars="0" w:right="0" w:rightChars="0" w:firstLine="664" w:firstLineChars="200"/>
        <w:jc w:val="left"/>
        <w:textAlignment w:val="auto"/>
        <w:rPr>
          <w:rFonts w:hint="eastAsia" w:ascii="仿宋_GB2312" w:hAnsi="仿宋_GB2312" w:eastAsia="仿宋_GB2312" w:cs="仿宋_GB2312"/>
          <w:color w:val="auto"/>
          <w:spacing w:val="6"/>
          <w:kern w:val="0"/>
          <w:sz w:val="32"/>
          <w:szCs w:val="32"/>
          <w:lang w:val="en-US" w:eastAsia="en-US"/>
        </w:rPr>
      </w:pPr>
      <w:r>
        <w:rPr>
          <w:rFonts w:hint="eastAsia" w:ascii="仿宋_GB2312" w:hAnsi="仿宋_GB2312" w:eastAsia="仿宋_GB2312" w:cs="仿宋_GB2312"/>
          <w:color w:val="auto"/>
          <w:spacing w:val="6"/>
          <w:kern w:val="0"/>
          <w:sz w:val="32"/>
          <w:szCs w:val="32"/>
          <w:lang w:val="en-US" w:eastAsia="en-US"/>
        </w:rPr>
        <w:t>呼伦贝尔市扎赉诺尔区人民检察院 2025年度财政拨款收入、支出决算总计均为 613.68万元，与年初预算相比，收、支总计各增加 6.36万元，增长 1.05%，变动原因：</w:t>
      </w:r>
      <w:r>
        <w:rPr>
          <w:rFonts w:hint="eastAsia" w:ascii="仿宋_GB2312" w:hAnsi="仿宋_GB2312" w:eastAsia="仿宋_GB2312" w:cs="仿宋_GB2312"/>
          <w:color w:val="auto"/>
          <w:spacing w:val="6"/>
          <w:kern w:val="0"/>
          <w:sz w:val="32"/>
          <w:szCs w:val="32"/>
          <w:lang w:val="en-US" w:eastAsia="zh-CN"/>
        </w:rPr>
        <w:t>因业务需求增加了办案业务费</w:t>
      </w:r>
      <w:r>
        <w:rPr>
          <w:rFonts w:hint="eastAsia" w:ascii="仿宋_GB2312" w:hAnsi="仿宋_GB2312" w:eastAsia="仿宋_GB2312" w:cs="仿宋_GB2312"/>
          <w:color w:val="auto"/>
          <w:spacing w:val="6"/>
          <w:kern w:val="0"/>
          <w:sz w:val="32"/>
          <w:szCs w:val="32"/>
          <w:lang w:val="en-US" w:eastAsia="en-US"/>
        </w:rPr>
        <w:t>；与上年决算相比，收、支总计各增加 1.97万元，增长 0.32%，变动原因：</w:t>
      </w:r>
      <w:r>
        <w:rPr>
          <w:rFonts w:hint="eastAsia" w:ascii="仿宋_GB2312" w:hAnsi="仿宋_GB2312" w:eastAsia="仿宋_GB2312" w:cs="仿宋_GB2312"/>
          <w:color w:val="auto"/>
          <w:spacing w:val="6"/>
          <w:kern w:val="0"/>
          <w:sz w:val="32"/>
          <w:szCs w:val="32"/>
          <w:lang w:val="en-US" w:eastAsia="zh-CN"/>
        </w:rPr>
        <w:t>因业务需求增加了办案业务费</w:t>
      </w:r>
      <w:r>
        <w:rPr>
          <w:rFonts w:hint="eastAsia" w:ascii="仿宋_GB2312" w:hAnsi="仿宋_GB2312" w:eastAsia="仿宋_GB2312" w:cs="仿宋_GB2312"/>
          <w:color w:val="auto"/>
          <w:spacing w:val="6"/>
          <w:kern w:val="0"/>
          <w:sz w:val="32"/>
          <w:szCs w:val="32"/>
          <w:lang w:val="en-US" w:eastAsia="en-US"/>
        </w:rPr>
        <w:t>。</w:t>
      </w:r>
    </w:p>
    <w:p w14:paraId="6306FA41">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五、一般公共预算财政拨款支出决算情况说明</w:t>
      </w:r>
    </w:p>
    <w:p w14:paraId="77917513">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呼伦贝尔市扎赉诺尔区人民检察院 2025年度一般公共预算财政拨款支出决算 613.68万元。与年初预算 607.31万元相比，完成年初预算的 101.05%。其中：</w:t>
      </w:r>
    </w:p>
    <w:p w14:paraId="736FF65F">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（一）公共安全（类）</w:t>
      </w:r>
    </w:p>
    <w:p w14:paraId="372721E7">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公共安全（类）决算数为 540.67万元，与年初预算相比增加 14.17万元。其中：</w:t>
      </w:r>
    </w:p>
    <w:p w14:paraId="4C2849BB">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1．检察（款）行政运行（项）。年初预算</w:t>
      </w:r>
      <w:r>
        <w:rPr>
          <w:rFonts w:hint="eastAsia" w:ascii="仿宋_GB2312" w:hAnsi="仿宋_GB2312" w:eastAsia="仿宋_GB2312" w:cs="仿宋_GB2312"/>
          <w:color w:val="auto"/>
          <w:spacing w:val="6"/>
          <w:kern w:val="0"/>
          <w:sz w:val="32"/>
          <w:szCs w:val="32"/>
          <w:lang w:val="en-US" w:eastAsia="zh-CN" w:bidi="ar-SA"/>
        </w:rPr>
        <w:t>339.31</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348.00</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102.56</w:t>
      </w:r>
      <w:r>
        <w:rPr>
          <w:rFonts w:hint="eastAsia" w:ascii="仿宋_GB2312" w:hAnsi="仿宋_GB2312" w:eastAsia="仿宋_GB2312" w:cs="仿宋_GB2312"/>
          <w:color w:val="auto"/>
          <w:spacing w:val="6"/>
          <w:kern w:val="0"/>
          <w:sz w:val="32"/>
          <w:szCs w:val="32"/>
          <w:lang w:val="en-US" w:eastAsia="en-US" w:bidi="ar-SA"/>
        </w:rPr>
        <w:t>%。决算数与年初预算数的差异原因：</w:t>
      </w:r>
      <w:r>
        <w:rPr>
          <w:rFonts w:hint="eastAsia" w:ascii="仿宋_GB2312" w:hAnsi="仿宋_GB2312" w:eastAsia="仿宋_GB2312" w:cs="仿宋_GB2312"/>
          <w:color w:val="auto"/>
          <w:spacing w:val="6"/>
          <w:kern w:val="0"/>
          <w:sz w:val="32"/>
          <w:szCs w:val="32"/>
          <w:lang w:val="en-US" w:eastAsia="zh-CN" w:bidi="ar-SA"/>
        </w:rPr>
        <w:t>人员工资自然上浮</w:t>
      </w:r>
      <w:r>
        <w:rPr>
          <w:rFonts w:hint="eastAsia" w:ascii="仿宋_GB2312" w:hAnsi="仿宋_GB2312" w:eastAsia="仿宋_GB2312" w:cs="仿宋_GB2312"/>
          <w:color w:val="auto"/>
          <w:spacing w:val="6"/>
          <w:kern w:val="0"/>
          <w:sz w:val="32"/>
          <w:szCs w:val="32"/>
          <w:lang w:val="en-US" w:eastAsia="en-US" w:bidi="ar-SA"/>
        </w:rPr>
        <w:t>。</w:t>
      </w:r>
    </w:p>
    <w:p w14:paraId="66365044">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zh-CN" w:bidi="ar-SA"/>
        </w:rPr>
      </w:pPr>
      <w:r>
        <w:rPr>
          <w:rFonts w:hint="eastAsia" w:ascii="仿宋_GB2312" w:hAnsi="仿宋_GB2312" w:eastAsia="仿宋_GB2312" w:cs="仿宋_GB2312"/>
          <w:color w:val="auto"/>
          <w:spacing w:val="6"/>
          <w:kern w:val="0"/>
          <w:sz w:val="32"/>
          <w:szCs w:val="32"/>
          <w:lang w:val="en-US" w:eastAsia="en-US" w:bidi="ar-SA"/>
        </w:rPr>
        <w:t>2．检察（款）一般行政管理事务（项）。年初预算</w:t>
      </w:r>
      <w:r>
        <w:rPr>
          <w:rFonts w:hint="eastAsia" w:ascii="仿宋_GB2312" w:hAnsi="仿宋_GB2312" w:eastAsia="仿宋_GB2312" w:cs="仿宋_GB2312"/>
          <w:color w:val="auto"/>
          <w:spacing w:val="6"/>
          <w:kern w:val="0"/>
          <w:sz w:val="32"/>
          <w:szCs w:val="32"/>
          <w:lang w:val="en-US" w:eastAsia="zh-CN" w:bidi="ar-SA"/>
        </w:rPr>
        <w:t>169.98</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173.87</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102.28</w:t>
      </w:r>
      <w:r>
        <w:rPr>
          <w:rFonts w:hint="eastAsia" w:ascii="仿宋_GB2312" w:hAnsi="仿宋_GB2312" w:eastAsia="仿宋_GB2312" w:cs="仿宋_GB2312"/>
          <w:color w:val="auto"/>
          <w:spacing w:val="6"/>
          <w:kern w:val="0"/>
          <w:sz w:val="32"/>
          <w:szCs w:val="32"/>
          <w:lang w:val="en-US" w:eastAsia="en-US" w:bidi="ar-SA"/>
        </w:rPr>
        <w:t>%。决算数与年初预算数的差异原因：</w:t>
      </w:r>
      <w:r>
        <w:rPr>
          <w:rFonts w:hint="eastAsia" w:ascii="仿宋_GB2312" w:hAnsi="仿宋_GB2312" w:eastAsia="仿宋_GB2312" w:cs="仿宋_GB2312"/>
          <w:color w:val="auto"/>
          <w:spacing w:val="6"/>
          <w:kern w:val="0"/>
          <w:sz w:val="32"/>
          <w:szCs w:val="32"/>
          <w:lang w:val="en-US" w:eastAsia="zh-CN" w:bidi="ar-SA"/>
        </w:rPr>
        <w:t>因工作需要，增加了办案业务费。</w:t>
      </w:r>
    </w:p>
    <w:p w14:paraId="78CE4FB1">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zh-CN" w:bidi="ar-SA"/>
        </w:rPr>
      </w:pPr>
      <w:r>
        <w:rPr>
          <w:rFonts w:hint="eastAsia" w:ascii="仿宋_GB2312" w:hAnsi="仿宋_GB2312" w:eastAsia="仿宋_GB2312" w:cs="仿宋_GB2312"/>
          <w:color w:val="auto"/>
          <w:spacing w:val="6"/>
          <w:kern w:val="0"/>
          <w:sz w:val="32"/>
          <w:szCs w:val="32"/>
          <w:lang w:val="en-US" w:eastAsia="zh-CN" w:bidi="ar-SA"/>
        </w:rPr>
        <w:t>3</w:t>
      </w:r>
      <w:r>
        <w:rPr>
          <w:rFonts w:hint="eastAsia" w:ascii="仿宋_GB2312" w:hAnsi="仿宋_GB2312" w:eastAsia="仿宋_GB2312" w:cs="仿宋_GB2312"/>
          <w:color w:val="auto"/>
          <w:spacing w:val="6"/>
          <w:kern w:val="0"/>
          <w:sz w:val="32"/>
          <w:szCs w:val="32"/>
          <w:lang w:val="en-US" w:eastAsia="en-US" w:bidi="ar-SA"/>
        </w:rPr>
        <w:t>．检察（款）其他检察支出（项）。年初预算</w:t>
      </w:r>
      <w:r>
        <w:rPr>
          <w:rFonts w:hint="eastAsia" w:ascii="仿宋_GB2312" w:hAnsi="仿宋_GB2312" w:eastAsia="仿宋_GB2312" w:cs="仿宋_GB2312"/>
          <w:color w:val="auto"/>
          <w:spacing w:val="6"/>
          <w:kern w:val="0"/>
          <w:sz w:val="32"/>
          <w:szCs w:val="32"/>
          <w:lang w:val="en-US" w:eastAsia="zh-CN" w:bidi="ar-SA"/>
        </w:rPr>
        <w:t>17.20</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18.8</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109.30</w:t>
      </w:r>
      <w:r>
        <w:rPr>
          <w:rFonts w:hint="eastAsia" w:ascii="仿宋_GB2312" w:hAnsi="仿宋_GB2312" w:eastAsia="仿宋_GB2312" w:cs="仿宋_GB2312"/>
          <w:color w:val="auto"/>
          <w:spacing w:val="6"/>
          <w:kern w:val="0"/>
          <w:sz w:val="32"/>
          <w:szCs w:val="32"/>
          <w:lang w:val="en-US" w:eastAsia="en-US" w:bidi="ar-SA"/>
        </w:rPr>
        <w:t>%。决算数与年初预算数的差异原因：</w:t>
      </w:r>
      <w:r>
        <w:rPr>
          <w:rFonts w:hint="eastAsia" w:ascii="仿宋_GB2312" w:hAnsi="仿宋_GB2312" w:eastAsia="仿宋_GB2312" w:cs="仿宋_GB2312"/>
          <w:color w:val="auto"/>
          <w:spacing w:val="6"/>
          <w:kern w:val="0"/>
          <w:sz w:val="32"/>
          <w:szCs w:val="32"/>
          <w:lang w:val="en-US" w:eastAsia="zh-CN" w:bidi="ar-SA"/>
        </w:rPr>
        <w:t>因工作需要，增加了网络维修（护）费。</w:t>
      </w:r>
    </w:p>
    <w:p w14:paraId="034E0702">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（二）社会保障和就业支出（类）</w:t>
      </w:r>
    </w:p>
    <w:p w14:paraId="57F31933">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社会保障和就业支出（类）决算数为 31.40万元，与年初预算相比减少 2.97万元。其中：</w:t>
      </w:r>
    </w:p>
    <w:p w14:paraId="6F11C2B9">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1．行政事业单位养老支出（款）机关事业单位基本养老保险缴费支出（项）。年初预算</w:t>
      </w:r>
      <w:r>
        <w:rPr>
          <w:rFonts w:hint="eastAsia" w:ascii="仿宋_GB2312" w:hAnsi="仿宋_GB2312" w:eastAsia="仿宋_GB2312" w:cs="仿宋_GB2312"/>
          <w:color w:val="auto"/>
          <w:spacing w:val="6"/>
          <w:kern w:val="0"/>
          <w:sz w:val="32"/>
          <w:szCs w:val="32"/>
          <w:lang w:val="en-US" w:eastAsia="zh-CN" w:bidi="ar-SA"/>
        </w:rPr>
        <w:t>22.91</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20.94</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91.40</w:t>
      </w:r>
      <w:r>
        <w:rPr>
          <w:rFonts w:hint="eastAsia" w:ascii="仿宋_GB2312" w:hAnsi="仿宋_GB2312" w:eastAsia="仿宋_GB2312" w:cs="仿宋_GB2312"/>
          <w:color w:val="auto"/>
          <w:spacing w:val="6"/>
          <w:kern w:val="0"/>
          <w:sz w:val="32"/>
          <w:szCs w:val="32"/>
          <w:lang w:val="en-US" w:eastAsia="en-US" w:bidi="ar-SA"/>
        </w:rPr>
        <w:t>%。决算数与年初预算数的差异原因：</w:t>
      </w:r>
      <w:r>
        <w:rPr>
          <w:rFonts w:hint="eastAsia" w:ascii="仿宋_GB2312" w:hAnsi="仿宋_GB2312" w:eastAsia="仿宋_GB2312" w:cs="仿宋_GB2312"/>
          <w:color w:val="auto"/>
          <w:spacing w:val="6"/>
          <w:kern w:val="0"/>
          <w:sz w:val="32"/>
          <w:szCs w:val="32"/>
          <w:lang w:val="en-US" w:eastAsia="zh-CN" w:bidi="ar-SA"/>
        </w:rPr>
        <w:t>按照相关规定进行基数调整</w:t>
      </w:r>
      <w:r>
        <w:rPr>
          <w:rFonts w:hint="eastAsia" w:ascii="仿宋_GB2312" w:hAnsi="仿宋_GB2312" w:eastAsia="仿宋_GB2312" w:cs="仿宋_GB2312"/>
          <w:color w:val="auto"/>
          <w:spacing w:val="6"/>
          <w:kern w:val="0"/>
          <w:sz w:val="32"/>
          <w:szCs w:val="32"/>
          <w:lang w:val="en-US" w:eastAsia="en-US" w:bidi="ar-SA"/>
        </w:rPr>
        <w:t>。</w:t>
      </w:r>
    </w:p>
    <w:p w14:paraId="5C54EFC0">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2．行政事业单位养老支出（款）机关事业单位职业年金缴费支出（项）。年初预算</w:t>
      </w:r>
      <w:r>
        <w:rPr>
          <w:rFonts w:hint="eastAsia" w:ascii="仿宋_GB2312" w:hAnsi="仿宋_GB2312" w:eastAsia="仿宋_GB2312" w:cs="仿宋_GB2312"/>
          <w:color w:val="auto"/>
          <w:spacing w:val="6"/>
          <w:kern w:val="0"/>
          <w:sz w:val="32"/>
          <w:szCs w:val="32"/>
          <w:lang w:val="en-US" w:eastAsia="zh-CN" w:bidi="ar-SA"/>
        </w:rPr>
        <w:t>11.45</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10.47</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91.44</w:t>
      </w:r>
      <w:r>
        <w:rPr>
          <w:rFonts w:hint="eastAsia" w:ascii="仿宋_GB2312" w:hAnsi="仿宋_GB2312" w:eastAsia="仿宋_GB2312" w:cs="仿宋_GB2312"/>
          <w:color w:val="auto"/>
          <w:spacing w:val="6"/>
          <w:kern w:val="0"/>
          <w:sz w:val="32"/>
          <w:szCs w:val="32"/>
          <w:lang w:val="en-US" w:eastAsia="en-US" w:bidi="ar-SA"/>
        </w:rPr>
        <w:t>%。决算数与年初预算数的差异原因：</w:t>
      </w:r>
      <w:r>
        <w:rPr>
          <w:rFonts w:hint="eastAsia" w:ascii="仿宋_GB2312" w:hAnsi="仿宋_GB2312" w:eastAsia="仿宋_GB2312" w:cs="仿宋_GB2312"/>
          <w:color w:val="auto"/>
          <w:spacing w:val="6"/>
          <w:kern w:val="0"/>
          <w:sz w:val="32"/>
          <w:szCs w:val="32"/>
          <w:lang w:val="en-US" w:eastAsia="zh-CN" w:bidi="ar-SA"/>
        </w:rPr>
        <w:t>按照相关规定进行基数调整</w:t>
      </w:r>
      <w:r>
        <w:rPr>
          <w:rFonts w:hint="eastAsia" w:ascii="仿宋_GB2312" w:hAnsi="仿宋_GB2312" w:eastAsia="仿宋_GB2312" w:cs="仿宋_GB2312"/>
          <w:color w:val="auto"/>
          <w:spacing w:val="6"/>
          <w:kern w:val="0"/>
          <w:sz w:val="32"/>
          <w:szCs w:val="32"/>
          <w:lang w:val="en-US" w:eastAsia="en-US" w:bidi="ar-SA"/>
        </w:rPr>
        <w:t>。</w:t>
      </w:r>
    </w:p>
    <w:p w14:paraId="654CB618">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w:t>
      </w:r>
      <w:r>
        <w:rPr>
          <w:rFonts w:hint="eastAsia" w:ascii="楷体" w:hAnsi="楷体" w:eastAsia="楷体" w:cs="楷体"/>
          <w:b/>
          <w:bCs/>
          <w:kern w:val="0"/>
          <w:sz w:val="32"/>
          <w:szCs w:val="32"/>
          <w:lang w:eastAsia="zh-CN"/>
        </w:rPr>
        <w:t>三</w:t>
      </w:r>
      <w:r>
        <w:rPr>
          <w:rFonts w:ascii="楷体" w:hAnsi="楷体" w:eastAsia="楷体" w:cs="楷体"/>
          <w:b/>
          <w:bCs/>
          <w:kern w:val="0"/>
          <w:sz w:val="32"/>
          <w:szCs w:val="32"/>
        </w:rPr>
        <w:t>）卫生健康支出（类）</w:t>
      </w:r>
    </w:p>
    <w:p w14:paraId="1E33ED55">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卫生健康支出（类）决算数为 19.59万元，与年初预算相比增加 0.76万元。其中：</w:t>
      </w:r>
    </w:p>
    <w:p w14:paraId="1B32E0FE">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1．行政事业单位医疗（款）行政单位医疗（项）。年初预算</w:t>
      </w:r>
      <w:r>
        <w:rPr>
          <w:rFonts w:hint="eastAsia" w:ascii="仿宋_GB2312" w:hAnsi="仿宋_GB2312" w:eastAsia="仿宋_GB2312" w:cs="仿宋_GB2312"/>
          <w:color w:val="auto"/>
          <w:spacing w:val="6"/>
          <w:kern w:val="0"/>
          <w:sz w:val="32"/>
          <w:szCs w:val="32"/>
          <w:lang w:val="en-US" w:eastAsia="zh-CN" w:bidi="ar-SA"/>
        </w:rPr>
        <w:t>12.95</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13.71</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105.87</w:t>
      </w:r>
      <w:r>
        <w:rPr>
          <w:rFonts w:hint="eastAsia" w:ascii="仿宋_GB2312" w:hAnsi="仿宋_GB2312" w:eastAsia="仿宋_GB2312" w:cs="仿宋_GB2312"/>
          <w:color w:val="auto"/>
          <w:spacing w:val="6"/>
          <w:kern w:val="0"/>
          <w:sz w:val="32"/>
          <w:szCs w:val="32"/>
          <w:lang w:val="en-US" w:eastAsia="en-US" w:bidi="ar-SA"/>
        </w:rPr>
        <w:t>%。决算数与年初预算数的差异原因：</w:t>
      </w:r>
      <w:r>
        <w:rPr>
          <w:rFonts w:hint="eastAsia" w:ascii="仿宋_GB2312" w:hAnsi="仿宋_GB2312" w:eastAsia="仿宋_GB2312" w:cs="仿宋_GB2312"/>
          <w:color w:val="auto"/>
          <w:spacing w:val="6"/>
          <w:kern w:val="0"/>
          <w:sz w:val="32"/>
          <w:szCs w:val="32"/>
          <w:lang w:val="en-US" w:eastAsia="zh-CN" w:bidi="ar-SA"/>
        </w:rPr>
        <w:t>按照相关规定进行基数调整</w:t>
      </w:r>
      <w:r>
        <w:rPr>
          <w:rFonts w:hint="eastAsia" w:ascii="仿宋_GB2312" w:hAnsi="仿宋_GB2312" w:eastAsia="仿宋_GB2312" w:cs="仿宋_GB2312"/>
          <w:color w:val="auto"/>
          <w:spacing w:val="6"/>
          <w:kern w:val="0"/>
          <w:sz w:val="32"/>
          <w:szCs w:val="32"/>
          <w:lang w:val="en-US" w:eastAsia="en-US" w:bidi="ar-SA"/>
        </w:rPr>
        <w:t>。</w:t>
      </w:r>
    </w:p>
    <w:p w14:paraId="04D4B8E8">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2．行政事业单位医疗（款）公务员医疗补助（项）。年初预算</w:t>
      </w:r>
      <w:r>
        <w:rPr>
          <w:rFonts w:hint="eastAsia" w:ascii="仿宋_GB2312" w:hAnsi="仿宋_GB2312" w:eastAsia="仿宋_GB2312" w:cs="仿宋_GB2312"/>
          <w:color w:val="auto"/>
          <w:spacing w:val="6"/>
          <w:kern w:val="0"/>
          <w:sz w:val="32"/>
          <w:szCs w:val="32"/>
          <w:lang w:val="en-US" w:eastAsia="zh-CN" w:bidi="ar-SA"/>
        </w:rPr>
        <w:t>5.88</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5.88</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100</w:t>
      </w:r>
      <w:r>
        <w:rPr>
          <w:rFonts w:hint="eastAsia" w:ascii="仿宋_GB2312" w:hAnsi="仿宋_GB2312" w:eastAsia="仿宋_GB2312" w:cs="仿宋_GB2312"/>
          <w:color w:val="auto"/>
          <w:spacing w:val="6"/>
          <w:kern w:val="0"/>
          <w:sz w:val="32"/>
          <w:szCs w:val="32"/>
          <w:lang w:val="en-US" w:eastAsia="en-US" w:bidi="ar-SA"/>
        </w:rPr>
        <w:t>%。决算数与年初预算数的差异原因：不存在此项内容。</w:t>
      </w:r>
    </w:p>
    <w:p w14:paraId="4433F339">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w:t>
      </w:r>
      <w:r>
        <w:rPr>
          <w:rFonts w:hint="eastAsia" w:ascii="楷体" w:hAnsi="楷体" w:eastAsia="楷体" w:cs="楷体"/>
          <w:b/>
          <w:bCs/>
          <w:kern w:val="0"/>
          <w:sz w:val="32"/>
          <w:szCs w:val="32"/>
          <w:lang w:eastAsia="zh-CN"/>
        </w:rPr>
        <w:t>四</w:t>
      </w:r>
      <w:r>
        <w:rPr>
          <w:rFonts w:ascii="楷体" w:hAnsi="楷体" w:eastAsia="楷体" w:cs="楷体"/>
          <w:b/>
          <w:bCs/>
          <w:kern w:val="0"/>
          <w:sz w:val="32"/>
          <w:szCs w:val="32"/>
        </w:rPr>
        <w:t>）住房保障支出（类）</w:t>
      </w:r>
    </w:p>
    <w:p w14:paraId="7767E360">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住房保障支出（类）决算数为 22.01万元，与年初预算相比增加 5.60万元。其中：</w:t>
      </w:r>
    </w:p>
    <w:p w14:paraId="07936D7E">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1．住房改革支出（款）住房公积金（项）。年初预算</w:t>
      </w:r>
      <w:r>
        <w:rPr>
          <w:rFonts w:hint="eastAsia" w:ascii="仿宋_GB2312" w:hAnsi="仿宋_GB2312" w:eastAsia="仿宋_GB2312" w:cs="仿宋_GB2312"/>
          <w:color w:val="auto"/>
          <w:spacing w:val="6"/>
          <w:kern w:val="0"/>
          <w:sz w:val="32"/>
          <w:szCs w:val="32"/>
          <w:lang w:val="en-US" w:eastAsia="zh-CN" w:bidi="ar-SA"/>
        </w:rPr>
        <w:t>27.61</w:t>
      </w:r>
      <w:r>
        <w:rPr>
          <w:rFonts w:hint="eastAsia" w:ascii="仿宋_GB2312" w:hAnsi="仿宋_GB2312" w:eastAsia="仿宋_GB2312" w:cs="仿宋_GB2312"/>
          <w:color w:val="auto"/>
          <w:spacing w:val="6"/>
          <w:kern w:val="0"/>
          <w:sz w:val="32"/>
          <w:szCs w:val="32"/>
          <w:lang w:val="en-US" w:eastAsia="en-US" w:bidi="ar-SA"/>
        </w:rPr>
        <w:t>万元，支出决算</w:t>
      </w:r>
      <w:r>
        <w:rPr>
          <w:rFonts w:hint="eastAsia" w:ascii="仿宋_GB2312" w:hAnsi="仿宋_GB2312" w:eastAsia="仿宋_GB2312" w:cs="仿宋_GB2312"/>
          <w:color w:val="auto"/>
          <w:spacing w:val="6"/>
          <w:kern w:val="0"/>
          <w:sz w:val="32"/>
          <w:szCs w:val="32"/>
          <w:lang w:val="en-US" w:eastAsia="zh-CN" w:bidi="ar-SA"/>
        </w:rPr>
        <w:t>22.01</w:t>
      </w:r>
      <w:r>
        <w:rPr>
          <w:rFonts w:hint="eastAsia" w:ascii="仿宋_GB2312" w:hAnsi="仿宋_GB2312" w:eastAsia="仿宋_GB2312" w:cs="仿宋_GB2312"/>
          <w:color w:val="auto"/>
          <w:spacing w:val="6"/>
          <w:kern w:val="0"/>
          <w:sz w:val="32"/>
          <w:szCs w:val="32"/>
          <w:lang w:val="en-US" w:eastAsia="en-US" w:bidi="ar-SA"/>
        </w:rPr>
        <w:t>万元，完成年初预算的</w:t>
      </w:r>
      <w:r>
        <w:rPr>
          <w:rFonts w:hint="eastAsia" w:ascii="仿宋_GB2312" w:hAnsi="仿宋_GB2312" w:eastAsia="仿宋_GB2312" w:cs="仿宋_GB2312"/>
          <w:color w:val="auto"/>
          <w:spacing w:val="6"/>
          <w:kern w:val="0"/>
          <w:sz w:val="32"/>
          <w:szCs w:val="32"/>
          <w:lang w:val="en-US" w:eastAsia="zh-CN" w:bidi="ar-SA"/>
        </w:rPr>
        <w:t>79.71</w:t>
      </w:r>
      <w:r>
        <w:rPr>
          <w:rFonts w:hint="eastAsia" w:ascii="仿宋_GB2312" w:hAnsi="仿宋_GB2312" w:eastAsia="仿宋_GB2312" w:cs="仿宋_GB2312"/>
          <w:color w:val="auto"/>
          <w:spacing w:val="6"/>
          <w:kern w:val="0"/>
          <w:sz w:val="32"/>
          <w:szCs w:val="32"/>
          <w:lang w:val="en-US" w:eastAsia="en-US" w:bidi="ar-SA"/>
        </w:rPr>
        <w:t>%。决算数与年初预算数的差异原因：</w:t>
      </w:r>
      <w:r>
        <w:rPr>
          <w:rFonts w:hint="eastAsia" w:ascii="仿宋_GB2312" w:hAnsi="仿宋_GB2312" w:eastAsia="仿宋_GB2312" w:cs="仿宋_GB2312"/>
          <w:color w:val="auto"/>
          <w:spacing w:val="6"/>
          <w:kern w:val="0"/>
          <w:sz w:val="32"/>
          <w:szCs w:val="32"/>
          <w:lang w:val="en-US" w:eastAsia="zh-CN" w:bidi="ar-SA"/>
        </w:rPr>
        <w:t>按照相关规定进行基数调整</w:t>
      </w:r>
      <w:r>
        <w:rPr>
          <w:rFonts w:hint="eastAsia" w:ascii="仿宋_GB2312" w:hAnsi="仿宋_GB2312" w:eastAsia="仿宋_GB2312" w:cs="仿宋_GB2312"/>
          <w:color w:val="auto"/>
          <w:spacing w:val="6"/>
          <w:kern w:val="0"/>
          <w:sz w:val="32"/>
          <w:szCs w:val="32"/>
          <w:lang w:val="en-US" w:eastAsia="en-US" w:bidi="ar-SA"/>
        </w:rPr>
        <w:t>。</w:t>
      </w:r>
    </w:p>
    <w:p w14:paraId="78623CF9">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六、一般公共预算财政拨款基本支出决算情况说明</w:t>
      </w:r>
    </w:p>
    <w:p w14:paraId="23DD526B">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color w:val="auto"/>
          <w:spacing w:val="6"/>
          <w:kern w:val="0"/>
          <w:sz w:val="32"/>
          <w:szCs w:val="32"/>
          <w:lang w:val="en-US" w:eastAsia="en-US" w:bidi="ar-SA"/>
        </w:rPr>
        <w:t>呼伦贝尔市扎赉诺尔区人民检察院 2025年度一般公共预算财政拨款基本支出决算 421.01万元，其中：</w:t>
      </w:r>
    </w:p>
    <w:p w14:paraId="086FAA3D">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ascii="楷体" w:hAnsi="楷体" w:eastAsia="楷体" w:cs="楷体"/>
          <w:b/>
          <w:bCs/>
          <w:kern w:val="0"/>
          <w:sz w:val="32"/>
          <w:szCs w:val="32"/>
        </w:rPr>
        <w:t>（一）人员经费</w:t>
      </w:r>
      <w:r>
        <w:rPr>
          <w:rFonts w:eastAsia="Times New Roman"/>
          <w:kern w:val="0"/>
          <w:sz w:val="32"/>
          <w:szCs w:val="32"/>
          <w:u w:val="single"/>
          <w:lang w:eastAsia="en-US"/>
        </w:rPr>
        <w:t xml:space="preserve"> 376.67</w:t>
      </w:r>
      <w:r>
        <w:rPr>
          <w:rFonts w:ascii="楷体" w:hAnsi="楷体" w:eastAsia="楷体" w:cs="楷体"/>
          <w:b/>
          <w:bCs/>
          <w:kern w:val="0"/>
          <w:sz w:val="32"/>
          <w:szCs w:val="32"/>
        </w:rPr>
        <w:t>万元。</w:t>
      </w:r>
      <w:r>
        <w:rPr>
          <w:rFonts w:hint="eastAsia" w:ascii="仿宋_GB2312" w:hAnsi="仿宋_GB2312" w:eastAsia="仿宋_GB2312" w:cs="仿宋_GB2312"/>
          <w:color w:val="auto"/>
          <w:spacing w:val="6"/>
          <w:kern w:val="0"/>
          <w:sz w:val="32"/>
          <w:szCs w:val="32"/>
          <w:lang w:val="en-US" w:eastAsia="en-US" w:bidi="ar-SA"/>
        </w:rPr>
        <w:t>主要包括：基本工资、津贴补贴、奖金、机关事业单位基本养老保险缴费、职业年金缴费、职工基本医疗保险缴费、公务员医疗补助缴费、住房公积金、其他工资福利支出等。</w:t>
      </w:r>
    </w:p>
    <w:p w14:paraId="6ED92CCB">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ascii="FangSong_GB2312" w:hAnsi="FangSong_GB2312" w:eastAsia="FangSong_GB2312" w:cs="FangSong_GB2312"/>
          <w:b/>
          <w:bCs/>
          <w:kern w:val="0"/>
          <w:sz w:val="32"/>
          <w:szCs w:val="32"/>
        </w:rPr>
        <w:t>（二）公用经费</w:t>
      </w:r>
      <w:r>
        <w:rPr>
          <w:rFonts w:eastAsia="Times New Roman"/>
          <w:kern w:val="0"/>
          <w:sz w:val="32"/>
          <w:szCs w:val="32"/>
          <w:u w:val="single"/>
          <w:lang w:eastAsia="en-US"/>
        </w:rPr>
        <w:t xml:space="preserve"> 44.34</w:t>
      </w:r>
      <w:r>
        <w:rPr>
          <w:rFonts w:ascii="FangSong_GB2312" w:hAnsi="FangSong_GB2312" w:eastAsia="FangSong_GB2312" w:cs="FangSong_GB2312"/>
          <w:b/>
          <w:bCs/>
          <w:kern w:val="0"/>
          <w:sz w:val="32"/>
          <w:szCs w:val="32"/>
        </w:rPr>
        <w:t>万元。</w:t>
      </w:r>
      <w:r>
        <w:rPr>
          <w:rFonts w:hint="eastAsia" w:ascii="仿宋_GB2312" w:hAnsi="仿宋_GB2312" w:eastAsia="仿宋_GB2312" w:cs="仿宋_GB2312"/>
          <w:color w:val="auto"/>
          <w:spacing w:val="6"/>
          <w:kern w:val="0"/>
          <w:sz w:val="32"/>
          <w:szCs w:val="32"/>
          <w:lang w:val="en-US" w:eastAsia="en-US" w:bidi="ar-SA"/>
        </w:rPr>
        <w:t>主要包括：电费、取暖费、公务接待费、工会经费、福利费、其他交通费用、其他商品和服务支出等。</w:t>
      </w:r>
    </w:p>
    <w:p w14:paraId="144D5498">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七、一般公共预算财政拨款项目支出决算情况说明</w:t>
      </w:r>
    </w:p>
    <w:p w14:paraId="766B8D43">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color w:val="auto"/>
          <w:spacing w:val="6"/>
          <w:kern w:val="0"/>
          <w:sz w:val="32"/>
          <w:szCs w:val="32"/>
          <w:lang w:val="en-US" w:eastAsia="en-US" w:bidi="ar-SA"/>
        </w:rPr>
        <w:t>呼伦贝尔市扎赉诺尔区人民检察院 2025年度一般公共预算财政拨款项目支出决算 192.67万元，其中：</w:t>
      </w:r>
    </w:p>
    <w:p w14:paraId="150B1A23">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（一）商品和服务支出</w:t>
      </w:r>
      <w:r>
        <w:rPr>
          <w:rFonts w:eastAsia="Times New Roman"/>
          <w:kern w:val="0"/>
          <w:sz w:val="32"/>
          <w:szCs w:val="32"/>
          <w:u w:val="single"/>
          <w:lang w:eastAsia="en-US"/>
        </w:rPr>
        <w:t xml:space="preserve"> 145.28</w:t>
      </w:r>
      <w:r>
        <w:rPr>
          <w:rFonts w:ascii="FangSong_GB2312" w:hAnsi="FangSong_GB2312" w:eastAsia="FangSong_GB2312" w:cs="FangSong_GB2312"/>
          <w:b/>
          <w:bCs/>
          <w:kern w:val="0"/>
          <w:sz w:val="32"/>
          <w:szCs w:val="32"/>
        </w:rPr>
        <w:t>万元。</w:t>
      </w:r>
      <w:r>
        <w:rPr>
          <w:rFonts w:hint="eastAsia" w:ascii="仿宋_GB2312" w:hAnsi="仿宋_GB2312" w:eastAsia="仿宋_GB2312" w:cs="仿宋_GB2312"/>
          <w:color w:val="auto"/>
          <w:spacing w:val="6"/>
          <w:kern w:val="0"/>
          <w:sz w:val="32"/>
          <w:szCs w:val="32"/>
          <w:lang w:val="en-US" w:eastAsia="en-US" w:bidi="ar-SA"/>
        </w:rPr>
        <w:t>主要包括：办公费、水费、邮电费、取暖费、物业管理费、差旅费、维修（护）费、委托业务费、公务用车运行维护费。</w:t>
      </w:r>
    </w:p>
    <w:p w14:paraId="7AEF33D0">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ascii="FangSong_GB2312" w:hAnsi="FangSong_GB2312" w:eastAsia="FangSong_GB2312" w:cs="FangSong_GB2312"/>
          <w:b/>
          <w:bCs/>
          <w:kern w:val="0"/>
          <w:sz w:val="32"/>
          <w:szCs w:val="32"/>
        </w:rPr>
        <w:t>（</w:t>
      </w:r>
      <w:r>
        <w:rPr>
          <w:rFonts w:hint="eastAsia" w:ascii="FangSong_GB2312" w:hAnsi="FangSong_GB2312" w:eastAsia="FangSong_GB2312" w:cs="FangSong_GB2312"/>
          <w:b/>
          <w:bCs/>
          <w:kern w:val="0"/>
          <w:sz w:val="32"/>
          <w:szCs w:val="32"/>
          <w:lang w:eastAsia="zh-CN"/>
        </w:rPr>
        <w:t>二</w:t>
      </w:r>
      <w:r>
        <w:rPr>
          <w:rFonts w:ascii="FangSong_GB2312" w:hAnsi="FangSong_GB2312" w:eastAsia="FangSong_GB2312" w:cs="FangSong_GB2312"/>
          <w:b/>
          <w:bCs/>
          <w:kern w:val="0"/>
          <w:sz w:val="32"/>
          <w:szCs w:val="32"/>
        </w:rPr>
        <w:t>）资本性支出</w:t>
      </w:r>
      <w:r>
        <w:rPr>
          <w:rFonts w:eastAsia="Times New Roman"/>
          <w:kern w:val="0"/>
          <w:sz w:val="32"/>
          <w:szCs w:val="32"/>
          <w:u w:val="single"/>
          <w:lang w:eastAsia="en-US"/>
        </w:rPr>
        <w:t xml:space="preserve"> 47.39</w:t>
      </w:r>
      <w:r>
        <w:rPr>
          <w:rFonts w:ascii="FangSong_GB2312" w:hAnsi="FangSong_GB2312" w:eastAsia="FangSong_GB2312" w:cs="FangSong_GB2312"/>
          <w:b/>
          <w:bCs/>
          <w:kern w:val="0"/>
          <w:sz w:val="32"/>
          <w:szCs w:val="32"/>
        </w:rPr>
        <w:t>万元。</w:t>
      </w:r>
      <w:r>
        <w:rPr>
          <w:rFonts w:hint="eastAsia" w:ascii="仿宋_GB2312" w:hAnsi="仿宋_GB2312" w:eastAsia="仿宋_GB2312" w:cs="仿宋_GB2312"/>
          <w:color w:val="auto"/>
          <w:spacing w:val="6"/>
          <w:kern w:val="0"/>
          <w:sz w:val="32"/>
          <w:szCs w:val="32"/>
          <w:lang w:val="en-US" w:eastAsia="en-US" w:bidi="ar-SA"/>
        </w:rPr>
        <w:t>主要包括：办公设备购置。</w:t>
      </w:r>
    </w:p>
    <w:p w14:paraId="7B970C39">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八、财政拨款</w:t>
      </w:r>
      <w:r>
        <w:rPr>
          <w:rFonts w:ascii="Times New Roman" w:hAnsi="Times New Roman" w:eastAsia="Times New Roman" w:cs="Times New Roman"/>
          <w:b/>
          <w:bCs/>
          <w:kern w:val="0"/>
          <w:sz w:val="32"/>
          <w:szCs w:val="32"/>
          <w:lang w:eastAsia="en-US"/>
        </w:rPr>
        <w:t>“</w:t>
      </w:r>
      <w:r>
        <w:rPr>
          <w:rFonts w:ascii="黑体" w:hAnsi="黑体" w:eastAsia="黑体" w:cs="黑体"/>
          <w:b/>
          <w:bCs/>
          <w:kern w:val="0"/>
          <w:sz w:val="32"/>
          <w:szCs w:val="32"/>
        </w:rPr>
        <w:t>三公</w:t>
      </w:r>
      <w:r>
        <w:rPr>
          <w:rFonts w:ascii="Times New Roman" w:hAnsi="Times New Roman" w:eastAsia="Times New Roman" w:cs="Times New Roman"/>
          <w:b/>
          <w:bCs/>
          <w:kern w:val="0"/>
          <w:sz w:val="32"/>
          <w:szCs w:val="32"/>
          <w:lang w:eastAsia="en-US"/>
        </w:rPr>
        <w:t>”</w:t>
      </w:r>
      <w:r>
        <w:rPr>
          <w:rFonts w:ascii="黑体" w:hAnsi="黑体" w:eastAsia="黑体" w:cs="黑体"/>
          <w:b/>
          <w:bCs/>
          <w:kern w:val="0"/>
          <w:sz w:val="32"/>
          <w:szCs w:val="32"/>
        </w:rPr>
        <w:t>经费支出决算情况说明</w:t>
      </w:r>
    </w:p>
    <w:p w14:paraId="0E5952E2">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（一）财政拨款</w:t>
      </w:r>
      <w:r>
        <w:rPr>
          <w:rFonts w:ascii="Times New Roman" w:hAnsi="Times New Roman" w:eastAsia="Times New Roman" w:cs="Times New Roman"/>
          <w:b/>
          <w:bCs/>
          <w:kern w:val="0"/>
          <w:sz w:val="32"/>
          <w:szCs w:val="32"/>
          <w:lang w:eastAsia="en-US"/>
        </w:rPr>
        <w:t>“</w:t>
      </w:r>
      <w:r>
        <w:rPr>
          <w:rFonts w:ascii="楷体" w:hAnsi="楷体" w:eastAsia="楷体" w:cs="楷体"/>
          <w:b/>
          <w:bCs/>
          <w:kern w:val="0"/>
          <w:sz w:val="32"/>
          <w:szCs w:val="32"/>
        </w:rPr>
        <w:t>三公</w:t>
      </w:r>
      <w:r>
        <w:rPr>
          <w:rFonts w:ascii="Times New Roman" w:hAnsi="Times New Roman" w:eastAsia="Times New Roman" w:cs="Times New Roman"/>
          <w:b/>
          <w:bCs/>
          <w:kern w:val="0"/>
          <w:sz w:val="32"/>
          <w:szCs w:val="32"/>
          <w:lang w:eastAsia="en-US"/>
        </w:rPr>
        <w:t>”</w:t>
      </w:r>
      <w:r>
        <w:rPr>
          <w:rFonts w:ascii="楷体" w:hAnsi="楷体" w:eastAsia="楷体" w:cs="楷体"/>
          <w:b/>
          <w:bCs/>
          <w:kern w:val="0"/>
          <w:sz w:val="32"/>
          <w:szCs w:val="32"/>
        </w:rPr>
        <w:t>经费支出总体情况说明。</w:t>
      </w:r>
    </w:p>
    <w:p w14:paraId="63D1C6B1">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呼伦贝尔市扎赉诺尔区人民检察院 2025年度财政拨款“三公”经费全年预算 10.78万元，支出决算 10.78万元，完成预算的 100.00%。其中：因公出国（境）费全年预算 0万元，支出决算 0万元，完成预算的 0%；公务用车购置及运行维护费全年预算 10.64万元，支出决算 10.64万元，完成预算的 100.00%；公务接待费全年预算 0.14万元，支出决算 0.14万元，完成预算的 100.00%。2025年度一般公共预算财政拨款“三公”经费全年预算 10.78万元，支出决算 10.78万元，与预算差异原因不存在此项内容。</w:t>
      </w:r>
    </w:p>
    <w:p w14:paraId="6E1443BA">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p>
    <w:p w14:paraId="7CE05CC3">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（二）财政拨款</w:t>
      </w:r>
      <w:r>
        <w:rPr>
          <w:rFonts w:ascii="Times New Roman" w:hAnsi="Times New Roman" w:eastAsia="Times New Roman" w:cs="Times New Roman"/>
          <w:b/>
          <w:bCs/>
          <w:kern w:val="0"/>
          <w:sz w:val="32"/>
          <w:szCs w:val="32"/>
          <w:lang w:eastAsia="en-US"/>
        </w:rPr>
        <w:t>“</w:t>
      </w:r>
      <w:r>
        <w:rPr>
          <w:rFonts w:ascii="楷体" w:hAnsi="楷体" w:eastAsia="楷体" w:cs="楷体"/>
          <w:b/>
          <w:bCs/>
          <w:kern w:val="0"/>
          <w:sz w:val="32"/>
          <w:szCs w:val="32"/>
        </w:rPr>
        <w:t>三公</w:t>
      </w:r>
      <w:r>
        <w:rPr>
          <w:rFonts w:ascii="Times New Roman" w:hAnsi="Times New Roman" w:eastAsia="Times New Roman" w:cs="Times New Roman"/>
          <w:b/>
          <w:bCs/>
          <w:kern w:val="0"/>
          <w:sz w:val="32"/>
          <w:szCs w:val="32"/>
          <w:lang w:eastAsia="en-US"/>
        </w:rPr>
        <w:t>”</w:t>
      </w:r>
      <w:r>
        <w:rPr>
          <w:rFonts w:ascii="楷体" w:hAnsi="楷体" w:eastAsia="楷体" w:cs="楷体"/>
          <w:b/>
          <w:bCs/>
          <w:kern w:val="0"/>
          <w:sz w:val="32"/>
          <w:szCs w:val="32"/>
        </w:rPr>
        <w:t>经费支出具体情况说明。</w:t>
      </w:r>
    </w:p>
    <w:p w14:paraId="03DE3BFA">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color w:val="auto"/>
          <w:spacing w:val="6"/>
          <w:kern w:val="0"/>
          <w:sz w:val="32"/>
          <w:szCs w:val="32"/>
          <w:lang w:val="en-US" w:eastAsia="en-US" w:bidi="ar-SA"/>
        </w:rPr>
        <w:t>呼伦贝尔市扎赉诺尔区人民检察院 2025年度财政拨款“三公”经费支出 10.78万元。因公出国（境）费支出 0万元，占 0%；公务用车购置及运行维护费支出 10.64万元，占 98.71%；公务接待费支出 0.14万元，占 1.29%。其中：</w:t>
      </w:r>
    </w:p>
    <w:p w14:paraId="76B12719">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1.因公出国（境）费支出 0万元，全年出国（境）团组0 个，累计0 人次。与上年决算相比，增加 0万元，增长 0%，变动原因：不存在此项内容。</w:t>
      </w:r>
    </w:p>
    <w:p w14:paraId="6A73994E">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2.公务用车购置及运行维护费支出 10.64万元。其中：</w:t>
      </w:r>
    </w:p>
    <w:p w14:paraId="1AB99F0E">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zh-CN" w:bidi="ar-SA"/>
        </w:rPr>
      </w:pPr>
      <w:r>
        <w:rPr>
          <w:rFonts w:hint="eastAsia" w:ascii="仿宋_GB2312" w:hAnsi="仿宋_GB2312" w:eastAsia="仿宋_GB2312" w:cs="仿宋_GB2312"/>
          <w:color w:val="auto"/>
          <w:spacing w:val="6"/>
          <w:kern w:val="0"/>
          <w:sz w:val="32"/>
          <w:szCs w:val="32"/>
          <w:lang w:val="en-US" w:eastAsia="en-US" w:bidi="ar-SA"/>
        </w:rPr>
        <w:t>（1）公务用车购置支出 0万元。本年度使用财政拨款购置公务用车0 辆，开支内容：不存在此项内容。与上年决算相比，减少 27.20万元，增长下降 100.00%，变动原因：</w:t>
      </w:r>
      <w:r>
        <w:rPr>
          <w:rFonts w:hint="eastAsia" w:ascii="仿宋_GB2312" w:hAnsi="仿宋_GB2312" w:eastAsia="仿宋_GB2312" w:cs="仿宋_GB2312"/>
          <w:color w:val="auto"/>
          <w:spacing w:val="6"/>
          <w:kern w:val="0"/>
          <w:sz w:val="32"/>
          <w:szCs w:val="32"/>
          <w:lang w:val="en-US" w:eastAsia="zh-CN" w:bidi="ar-SA"/>
        </w:rPr>
        <w:t>本年度没有购置公务用车。</w:t>
      </w:r>
    </w:p>
    <w:p w14:paraId="5A52B625">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（2）公务用车运行维护费支出 10.64万元。公务用车运行维护费主要用于按规定保留的公务用车的燃料费、新能源汽车充电费、维修费、过桥过路费、保险费、安全奖励费用等支出。截至2025年12月31日，使用财政拨款开支的公务用车保有量为4 辆。与上年决算相比，增加 2.23万元，下降 17.31%，变动原因：</w:t>
      </w:r>
      <w:r>
        <w:rPr>
          <w:rFonts w:hint="eastAsia" w:ascii="仿宋_GB2312" w:hAnsi="仿宋_GB2312" w:eastAsia="仿宋_GB2312" w:cs="仿宋_GB2312"/>
          <w:color w:val="auto"/>
          <w:spacing w:val="6"/>
          <w:kern w:val="0"/>
          <w:sz w:val="32"/>
          <w:szCs w:val="32"/>
          <w:lang w:val="en-US" w:eastAsia="zh-CN" w:bidi="ar-SA"/>
        </w:rPr>
        <w:t>本年度进一步严格控制了公务用车维修业务</w:t>
      </w:r>
      <w:r>
        <w:rPr>
          <w:rFonts w:hint="eastAsia" w:ascii="仿宋_GB2312" w:hAnsi="仿宋_GB2312" w:eastAsia="仿宋_GB2312" w:cs="仿宋_GB2312"/>
          <w:color w:val="auto"/>
          <w:spacing w:val="6"/>
          <w:kern w:val="0"/>
          <w:sz w:val="32"/>
          <w:szCs w:val="32"/>
          <w:lang w:val="en-US" w:eastAsia="en-US" w:bidi="ar-SA"/>
        </w:rPr>
        <w:t>。</w:t>
      </w:r>
    </w:p>
    <w:p w14:paraId="5AF80F68">
      <w:pPr>
        <w:pStyle w:val="30"/>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jc w:val="left"/>
        <w:textAlignment w:val="auto"/>
        <w:outlineLvl w:val="9"/>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3.公务接待费支出 0.14万元。其中：国内公务接待支出 0.14万元，接待2 批次，15 人次，开支内容：接待上级院工作人员指导工作；国（境）外公务接待支出 0万元，接待0 批次，0 人次，开支内容：不存在此项内容。与上年决算相比，减少 0.46万元，下降 76.87%，变动原因：</w:t>
      </w:r>
      <w:r>
        <w:rPr>
          <w:rFonts w:hint="eastAsia" w:ascii="仿宋_GB2312" w:hAnsi="仿宋_GB2312" w:eastAsia="仿宋_GB2312" w:cs="仿宋_GB2312"/>
          <w:color w:val="auto"/>
          <w:spacing w:val="6"/>
          <w:kern w:val="0"/>
          <w:sz w:val="32"/>
          <w:szCs w:val="32"/>
          <w:lang w:val="en-US" w:eastAsia="zh-CN" w:bidi="ar-SA"/>
        </w:rPr>
        <w:t>本年度进一步严格控制了公务接待业务</w:t>
      </w:r>
      <w:r>
        <w:rPr>
          <w:rFonts w:hint="eastAsia" w:ascii="仿宋_GB2312" w:hAnsi="仿宋_GB2312" w:eastAsia="仿宋_GB2312" w:cs="仿宋_GB2312"/>
          <w:color w:val="auto"/>
          <w:spacing w:val="6"/>
          <w:kern w:val="0"/>
          <w:sz w:val="32"/>
          <w:szCs w:val="32"/>
          <w:lang w:val="en-US" w:eastAsia="en-US" w:bidi="ar-SA"/>
        </w:rPr>
        <w:t>。</w:t>
      </w:r>
    </w:p>
    <w:p w14:paraId="3B8A0A2C">
      <w:pPr>
        <w:pStyle w:val="30"/>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jc w:val="left"/>
        <w:textAlignment w:val="auto"/>
        <w:outlineLvl w:val="9"/>
        <w:rPr>
          <w:rFonts w:ascii="Times New Roman" w:hAnsi="Times New Roman" w:eastAsia="Times New Roman" w:cs="Times New Roman"/>
          <w:kern w:val="0"/>
          <w:sz w:val="24"/>
        </w:rPr>
      </w:pPr>
      <w:r>
        <w:rPr>
          <w:rFonts w:ascii="黑体" w:hAnsi="黑体" w:eastAsia="黑体" w:cs="黑体"/>
          <w:b/>
          <w:bCs/>
          <w:kern w:val="0"/>
          <w:sz w:val="32"/>
          <w:szCs w:val="32"/>
        </w:rPr>
        <w:t>九、政府性基金预算财政拨款支出决算情况说明</w:t>
      </w:r>
    </w:p>
    <w:p w14:paraId="7DCBD1F4">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64" w:firstLineChars="200"/>
        <w:textAlignment w:val="auto"/>
        <w:outlineLvl w:val="9"/>
        <w:rPr>
          <w:rFonts w:ascii="fang_song_gb2312" w:hAnsi="fang_song_gb2312" w:eastAsia="fang_song_gb2312" w:cs="fang_song_gb2312"/>
          <w:kern w:val="0"/>
          <w:sz w:val="27"/>
          <w:szCs w:val="27"/>
        </w:rPr>
      </w:pPr>
      <w:r>
        <w:rPr>
          <w:rFonts w:hint="eastAsia" w:ascii="仿宋_GB2312" w:hAnsi="仿宋_GB2312" w:eastAsia="仿宋_GB2312" w:cs="仿宋_GB2312"/>
          <w:color w:val="auto"/>
          <w:spacing w:val="6"/>
          <w:kern w:val="0"/>
          <w:sz w:val="32"/>
          <w:szCs w:val="32"/>
          <w:lang w:val="en-US" w:eastAsia="en-US" w:bidi="ar-SA"/>
        </w:rPr>
        <w:t xml:space="preserve">呼伦贝尔市扎赉诺尔区人民检察院2025年度政府性基金预算财政拨款支出决算 0万元。与上年决算相比，增加 0万元，增长 0%，变动原因：变动原因：本年无国有资本经营预算财政拨款收、支、余。  </w:t>
      </w:r>
      <w:r>
        <w:rPr>
          <w:rFonts w:ascii="fang_song_gb2312" w:hAnsi="fang_song_gb2312" w:eastAsia="fang_song_gb2312" w:cs="fang_song_gb2312"/>
          <w:kern w:val="0"/>
          <w:sz w:val="27"/>
          <w:szCs w:val="27"/>
        </w:rPr>
        <w:t> </w:t>
      </w:r>
    </w:p>
    <w:p w14:paraId="0AFA6BC2">
      <w:pPr>
        <w:pStyle w:val="30"/>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jc w:val="left"/>
        <w:textAlignment w:val="auto"/>
        <w:outlineLvl w:val="9"/>
        <w:rPr>
          <w:rFonts w:ascii="Times New Roman" w:hAnsi="Times New Roman" w:eastAsia="Times New Roman" w:cs="Times New Roman"/>
          <w:kern w:val="0"/>
          <w:sz w:val="24"/>
        </w:rPr>
      </w:pPr>
      <w:r>
        <w:rPr>
          <w:rFonts w:ascii="黑体" w:hAnsi="黑体" w:eastAsia="黑体" w:cs="黑体"/>
          <w:b/>
          <w:bCs/>
          <w:kern w:val="0"/>
          <w:sz w:val="32"/>
          <w:szCs w:val="32"/>
        </w:rPr>
        <w:t>十、国有资本经营预算财政拨款支出决算情况说明</w:t>
      </w:r>
    </w:p>
    <w:p w14:paraId="328258E2">
      <w:pPr>
        <w:pStyle w:val="30"/>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jc w:val="left"/>
        <w:textAlignment w:val="auto"/>
        <w:outlineLvl w:val="9"/>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呼伦贝尔市扎赉诺尔区人民检察院2025年度国有资本经营预算财政拨款支出决算 0万元。与上年决算相比，增加 0万元，增长 0%，变动原因：本年无国有资本经营预算财政拨款收、支、余。</w:t>
      </w:r>
    </w:p>
    <w:p w14:paraId="6781298E">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十一、机关运行经费（公用经费）支出决算情况说明</w:t>
      </w:r>
    </w:p>
    <w:p w14:paraId="4121F399">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color w:val="auto"/>
          <w:spacing w:val="6"/>
          <w:kern w:val="0"/>
          <w:sz w:val="32"/>
          <w:szCs w:val="32"/>
          <w:lang w:val="en-US" w:eastAsia="en-US" w:bidi="ar-SA"/>
        </w:rPr>
        <w:t>呼伦贝尔市扎赉诺尔区人民检察院 2025年度公用经费支出决算 44.52万元，与上年决算相比，减少 1.69万元，下降 3.66%，变动原因：</w:t>
      </w:r>
      <w:r>
        <w:rPr>
          <w:rFonts w:hint="eastAsia" w:ascii="仿宋_GB2312" w:hAnsi="仿宋_GB2312" w:eastAsia="仿宋_GB2312" w:cs="仿宋_GB2312"/>
          <w:color w:val="auto"/>
          <w:spacing w:val="6"/>
          <w:kern w:val="0"/>
          <w:sz w:val="32"/>
          <w:szCs w:val="32"/>
          <w:lang w:val="en-US" w:eastAsia="zh-CN" w:bidi="ar-SA"/>
        </w:rPr>
        <w:t>根据本年度人员变化进行重新测算，因此进行核减</w:t>
      </w:r>
      <w:r>
        <w:rPr>
          <w:rFonts w:hint="eastAsia" w:ascii="仿宋_GB2312" w:hAnsi="仿宋_GB2312" w:eastAsia="仿宋_GB2312" w:cs="仿宋_GB2312"/>
          <w:color w:val="auto"/>
          <w:spacing w:val="6"/>
          <w:kern w:val="0"/>
          <w:sz w:val="32"/>
          <w:szCs w:val="32"/>
          <w:lang w:val="en-US" w:eastAsia="en-US" w:bidi="ar-SA"/>
        </w:rPr>
        <w:t>。其中，机关运行经费支出决算 44.34万元。比上年决算相比，减少 1.18万元，下降 2.59%，变动原因：</w:t>
      </w:r>
      <w:r>
        <w:rPr>
          <w:rFonts w:hint="eastAsia" w:ascii="仿宋_GB2312" w:hAnsi="仿宋_GB2312" w:eastAsia="仿宋_GB2312" w:cs="仿宋_GB2312"/>
          <w:color w:val="auto"/>
          <w:spacing w:val="6"/>
          <w:kern w:val="0"/>
          <w:sz w:val="32"/>
          <w:szCs w:val="32"/>
          <w:lang w:val="en-US" w:eastAsia="zh-CN" w:bidi="ar-SA"/>
        </w:rPr>
        <w:t>根据本年度人员变化进行重新测算，因此进行核减</w:t>
      </w:r>
      <w:r>
        <w:rPr>
          <w:rFonts w:hint="eastAsia" w:ascii="仿宋_GB2312" w:hAnsi="仿宋_GB2312" w:eastAsia="仿宋_GB2312" w:cs="仿宋_GB2312"/>
          <w:color w:val="auto"/>
          <w:spacing w:val="6"/>
          <w:kern w:val="0"/>
          <w:sz w:val="32"/>
          <w:szCs w:val="32"/>
          <w:lang w:val="en-US" w:eastAsia="en-US" w:bidi="ar-SA"/>
        </w:rPr>
        <w:t>。</w:t>
      </w:r>
    </w:p>
    <w:p w14:paraId="4A2A8ED4">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十二、政府采购支出决算情况说明</w:t>
      </w:r>
    </w:p>
    <w:p w14:paraId="62BAB0F4">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呼伦贝尔市扎赉诺尔区人民检察院2025年度政府采购支出总额 55.82万元，其中：政府采购货物支出 22.76万元、政府采购工程支出 0万元、政府采购服务支出 33.06万元。政府采购授予中小企业合同金额 35.44万元，占政府采购支出总额的</w:t>
      </w:r>
      <w:r>
        <w:rPr>
          <w:rFonts w:hint="eastAsia" w:ascii="仿宋_GB2312" w:hAnsi="仿宋_GB2312" w:eastAsia="仿宋_GB2312" w:cs="仿宋_GB2312"/>
          <w:color w:val="auto"/>
          <w:spacing w:val="6"/>
          <w:kern w:val="0"/>
          <w:sz w:val="32"/>
          <w:szCs w:val="32"/>
          <w:lang w:val="en-US" w:eastAsia="zh-CN" w:bidi="ar-SA"/>
        </w:rPr>
        <w:t>63.49</w:t>
      </w:r>
      <w:r>
        <w:rPr>
          <w:rFonts w:hint="eastAsia" w:ascii="仿宋_GB2312" w:hAnsi="仿宋_GB2312" w:eastAsia="仿宋_GB2312" w:cs="仿宋_GB2312"/>
          <w:color w:val="auto"/>
          <w:spacing w:val="6"/>
          <w:kern w:val="0"/>
          <w:sz w:val="32"/>
          <w:szCs w:val="32"/>
          <w:lang w:val="en-US" w:eastAsia="en-US" w:bidi="ar-SA"/>
        </w:rPr>
        <w:t>%，其中：授予小微企业合同金额 35.44万元，占政府采购支出总额的</w:t>
      </w:r>
      <w:r>
        <w:rPr>
          <w:rFonts w:hint="eastAsia" w:ascii="仿宋_GB2312" w:hAnsi="仿宋_GB2312" w:eastAsia="仿宋_GB2312" w:cs="仿宋_GB2312"/>
          <w:color w:val="auto"/>
          <w:spacing w:val="6"/>
          <w:kern w:val="0"/>
          <w:sz w:val="32"/>
          <w:szCs w:val="32"/>
          <w:lang w:val="en-US" w:eastAsia="zh-CN" w:bidi="ar-SA"/>
        </w:rPr>
        <w:t>63.49</w:t>
      </w:r>
      <w:r>
        <w:rPr>
          <w:rFonts w:hint="eastAsia" w:ascii="仿宋_GB2312" w:hAnsi="仿宋_GB2312" w:eastAsia="仿宋_GB2312" w:cs="仿宋_GB2312"/>
          <w:color w:val="auto"/>
          <w:spacing w:val="6"/>
          <w:kern w:val="0"/>
          <w:sz w:val="32"/>
          <w:szCs w:val="32"/>
          <w:lang w:val="en-US" w:eastAsia="en-US" w:bidi="ar-SA"/>
        </w:rPr>
        <w:t>%；货物采购授予中小企业合同金额占货物支出金额的</w:t>
      </w:r>
      <w:r>
        <w:rPr>
          <w:rFonts w:hint="eastAsia" w:ascii="仿宋_GB2312" w:hAnsi="仿宋_GB2312" w:eastAsia="仿宋_GB2312" w:cs="仿宋_GB2312"/>
          <w:color w:val="auto"/>
          <w:spacing w:val="6"/>
          <w:kern w:val="0"/>
          <w:sz w:val="32"/>
          <w:szCs w:val="32"/>
          <w:lang w:val="en-US" w:eastAsia="zh-CN" w:bidi="ar-SA"/>
        </w:rPr>
        <w:t>0</w:t>
      </w:r>
      <w:r>
        <w:rPr>
          <w:rFonts w:hint="eastAsia" w:ascii="仿宋_GB2312" w:hAnsi="仿宋_GB2312" w:eastAsia="仿宋_GB2312" w:cs="仿宋_GB2312"/>
          <w:color w:val="auto"/>
          <w:spacing w:val="6"/>
          <w:kern w:val="0"/>
          <w:sz w:val="32"/>
          <w:szCs w:val="32"/>
          <w:lang w:val="en-US" w:eastAsia="en-US" w:bidi="ar-SA"/>
        </w:rPr>
        <w:t>%，工程采购授予中小企业合同金额占工程支出金额的</w:t>
      </w:r>
      <w:r>
        <w:rPr>
          <w:rFonts w:hint="eastAsia" w:ascii="仿宋_GB2312" w:hAnsi="仿宋_GB2312" w:eastAsia="仿宋_GB2312" w:cs="仿宋_GB2312"/>
          <w:color w:val="auto"/>
          <w:spacing w:val="6"/>
          <w:kern w:val="0"/>
          <w:sz w:val="32"/>
          <w:szCs w:val="32"/>
          <w:lang w:val="en-US" w:eastAsia="zh-CN" w:bidi="ar-SA"/>
        </w:rPr>
        <w:t>0</w:t>
      </w:r>
      <w:r>
        <w:rPr>
          <w:rFonts w:hint="eastAsia" w:ascii="仿宋_GB2312" w:hAnsi="仿宋_GB2312" w:eastAsia="仿宋_GB2312" w:cs="仿宋_GB2312"/>
          <w:color w:val="auto"/>
          <w:spacing w:val="6"/>
          <w:kern w:val="0"/>
          <w:sz w:val="32"/>
          <w:szCs w:val="32"/>
          <w:lang w:val="en-US" w:eastAsia="en-US" w:bidi="ar-SA"/>
        </w:rPr>
        <w:t>%，服务采购授予中小企业合同金额占服务支出金额的</w:t>
      </w:r>
      <w:r>
        <w:rPr>
          <w:rFonts w:hint="eastAsia" w:ascii="仿宋_GB2312" w:hAnsi="仿宋_GB2312" w:eastAsia="仿宋_GB2312" w:cs="仿宋_GB2312"/>
          <w:color w:val="auto"/>
          <w:spacing w:val="6"/>
          <w:kern w:val="0"/>
          <w:sz w:val="32"/>
          <w:szCs w:val="32"/>
          <w:lang w:val="en-US" w:eastAsia="zh-CN" w:bidi="ar-SA"/>
        </w:rPr>
        <w:t>0</w:t>
      </w:r>
      <w:r>
        <w:rPr>
          <w:rFonts w:hint="eastAsia" w:ascii="仿宋_GB2312" w:hAnsi="仿宋_GB2312" w:eastAsia="仿宋_GB2312" w:cs="仿宋_GB2312"/>
          <w:color w:val="auto"/>
          <w:spacing w:val="6"/>
          <w:kern w:val="0"/>
          <w:sz w:val="32"/>
          <w:szCs w:val="32"/>
          <w:lang w:val="en-US" w:eastAsia="en-US" w:bidi="ar-SA"/>
        </w:rPr>
        <w:t>%。</w:t>
      </w:r>
    </w:p>
    <w:p w14:paraId="5511B6C6">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十三、国有资产占用情况说明</w:t>
      </w:r>
    </w:p>
    <w:p w14:paraId="012064F6">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呼伦贝尔市扎赉诺尔区人民检察院截至2025年12月31日，本部门（单位）共有车辆4 辆，其中：副部（省）级及以上领导用车0 辆、主要负责人用车0 辆、机要通信用车1 辆、应急保障用车0 辆、执法执勤用车2 辆、特种专业技术用车1 辆、离退休干部服务用车0 辆、其他用车0 辆；单价100万元（含）以上设备（不含车辆）0 台（套）。</w:t>
      </w:r>
    </w:p>
    <w:p w14:paraId="4BB43719">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黑体" w:hAnsi="黑体" w:eastAsia="黑体" w:cs="黑体"/>
          <w:b/>
          <w:bCs/>
          <w:kern w:val="0"/>
          <w:sz w:val="32"/>
          <w:szCs w:val="32"/>
        </w:rPr>
        <w:t>十四、预算绩效情况说明</w:t>
      </w:r>
    </w:p>
    <w:p w14:paraId="578E2C28">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（一）预算绩效管理工作开展情况。</w:t>
      </w:r>
    </w:p>
    <w:p w14:paraId="7A4D4950">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呼伦贝尔市扎赉诺尔区人民检察院根据预算绩效管理要求组织对2025年一般公共预算项目支出全面开展绩效自评，共涉及项目</w:t>
      </w:r>
      <w:r>
        <w:rPr>
          <w:rFonts w:hint="eastAsia" w:ascii="仿宋_GB2312" w:hAnsi="仿宋_GB2312" w:eastAsia="仿宋_GB2312" w:cs="仿宋_GB2312"/>
          <w:color w:val="auto"/>
          <w:spacing w:val="6"/>
          <w:kern w:val="0"/>
          <w:sz w:val="32"/>
          <w:szCs w:val="32"/>
          <w:lang w:val="en-US" w:eastAsia="zh-CN" w:bidi="ar-SA"/>
        </w:rPr>
        <w:t>2</w:t>
      </w:r>
      <w:r>
        <w:rPr>
          <w:rFonts w:hint="eastAsia" w:ascii="仿宋_GB2312" w:hAnsi="仿宋_GB2312" w:eastAsia="仿宋_GB2312" w:cs="仿宋_GB2312"/>
          <w:color w:val="auto"/>
          <w:spacing w:val="6"/>
          <w:kern w:val="0"/>
          <w:sz w:val="32"/>
          <w:szCs w:val="32"/>
          <w:lang w:val="en-US" w:eastAsia="en-US" w:bidi="ar-SA"/>
        </w:rPr>
        <w:t>个，资金 192.67万元，占一般公共预算项目支出总额的100%；政府性基金预算项目</w:t>
      </w:r>
      <w:r>
        <w:rPr>
          <w:rFonts w:hint="eastAsia" w:ascii="仿宋_GB2312" w:hAnsi="仿宋_GB2312" w:eastAsia="仿宋_GB2312" w:cs="仿宋_GB2312"/>
          <w:color w:val="auto"/>
          <w:spacing w:val="6"/>
          <w:kern w:val="0"/>
          <w:sz w:val="32"/>
          <w:szCs w:val="32"/>
          <w:lang w:val="en-US" w:eastAsia="zh-CN" w:bidi="ar-SA"/>
        </w:rPr>
        <w:t>0</w:t>
      </w:r>
      <w:r>
        <w:rPr>
          <w:rFonts w:hint="eastAsia" w:ascii="仿宋_GB2312" w:hAnsi="仿宋_GB2312" w:eastAsia="仿宋_GB2312" w:cs="仿宋_GB2312"/>
          <w:color w:val="auto"/>
          <w:spacing w:val="6"/>
          <w:kern w:val="0"/>
          <w:sz w:val="32"/>
          <w:szCs w:val="32"/>
          <w:lang w:val="en-US" w:eastAsia="en-US" w:bidi="ar-SA"/>
        </w:rPr>
        <w:t>个，共涉及资金 0万元，占政府性基金预算项目支出总额的100%。</w:t>
      </w:r>
    </w:p>
    <w:p w14:paraId="44CDC163">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zh-CN" w:bidi="ar-SA"/>
        </w:rPr>
      </w:pPr>
      <w:r>
        <w:rPr>
          <w:rFonts w:hint="eastAsia" w:ascii="仿宋_GB2312" w:hAnsi="仿宋_GB2312" w:eastAsia="仿宋_GB2312" w:cs="仿宋_GB2312"/>
          <w:color w:val="auto"/>
          <w:spacing w:val="6"/>
          <w:kern w:val="0"/>
          <w:sz w:val="32"/>
          <w:szCs w:val="32"/>
          <w:lang w:val="en-US" w:eastAsia="en-US" w:bidi="ar-SA"/>
        </w:rPr>
        <w:t>组织对“</w:t>
      </w:r>
      <w:r>
        <w:rPr>
          <w:rFonts w:hint="eastAsia" w:ascii="仿宋_GB2312" w:hAnsi="仿宋_GB2312" w:eastAsia="仿宋_GB2312" w:cs="仿宋_GB2312"/>
          <w:color w:val="auto"/>
          <w:spacing w:val="6"/>
          <w:kern w:val="0"/>
          <w:sz w:val="32"/>
          <w:szCs w:val="32"/>
          <w:lang w:val="en-US" w:eastAsia="zh-CN" w:bidi="ar-SA"/>
        </w:rPr>
        <w:t>业务装备经费</w:t>
      </w:r>
      <w:r>
        <w:rPr>
          <w:rFonts w:hint="eastAsia" w:ascii="仿宋_GB2312" w:hAnsi="仿宋_GB2312" w:eastAsia="仿宋_GB2312" w:cs="仿宋_GB2312"/>
          <w:color w:val="auto"/>
          <w:spacing w:val="6"/>
          <w:kern w:val="0"/>
          <w:sz w:val="32"/>
          <w:szCs w:val="32"/>
          <w:lang w:val="en-US" w:eastAsia="en-US" w:bidi="ar-SA"/>
        </w:rPr>
        <w:t>”、“办案（业务）经费”、等</w:t>
      </w:r>
      <w:r>
        <w:rPr>
          <w:rFonts w:hint="eastAsia" w:ascii="仿宋_GB2312" w:hAnsi="仿宋_GB2312" w:eastAsia="仿宋_GB2312" w:cs="仿宋_GB2312"/>
          <w:color w:val="auto"/>
          <w:spacing w:val="6"/>
          <w:kern w:val="0"/>
          <w:sz w:val="32"/>
          <w:szCs w:val="32"/>
          <w:lang w:val="en-US" w:eastAsia="zh-CN" w:bidi="ar-SA"/>
        </w:rPr>
        <w:t>2</w:t>
      </w:r>
      <w:r>
        <w:rPr>
          <w:rFonts w:hint="eastAsia" w:ascii="仿宋_GB2312" w:hAnsi="仿宋_GB2312" w:eastAsia="仿宋_GB2312" w:cs="仿宋_GB2312"/>
          <w:color w:val="auto"/>
          <w:spacing w:val="6"/>
          <w:kern w:val="0"/>
          <w:sz w:val="32"/>
          <w:szCs w:val="32"/>
          <w:lang w:val="en-US" w:eastAsia="en-US" w:bidi="ar-SA"/>
        </w:rPr>
        <w:t>个项目开展了部门评价，涉及一般公共预算支出192.67万元，政府性基金支出</w:t>
      </w:r>
      <w:r>
        <w:rPr>
          <w:rFonts w:hint="eastAsia" w:ascii="仿宋_GB2312" w:hAnsi="仿宋_GB2312" w:eastAsia="仿宋_GB2312" w:cs="仿宋_GB2312"/>
          <w:color w:val="auto"/>
          <w:spacing w:val="6"/>
          <w:kern w:val="0"/>
          <w:sz w:val="32"/>
          <w:szCs w:val="32"/>
          <w:lang w:val="en-US" w:eastAsia="zh-CN" w:bidi="ar-SA"/>
        </w:rPr>
        <w:t>0</w:t>
      </w:r>
      <w:r>
        <w:rPr>
          <w:rFonts w:hint="eastAsia" w:ascii="仿宋_GB2312" w:hAnsi="仿宋_GB2312" w:eastAsia="仿宋_GB2312" w:cs="仿宋_GB2312"/>
          <w:color w:val="auto"/>
          <w:spacing w:val="6"/>
          <w:kern w:val="0"/>
          <w:sz w:val="32"/>
          <w:szCs w:val="32"/>
          <w:lang w:val="en-US" w:eastAsia="en-US" w:bidi="ar-SA"/>
        </w:rPr>
        <w:t>万元。其中，对“</w:t>
      </w:r>
      <w:r>
        <w:rPr>
          <w:rFonts w:hint="eastAsia" w:ascii="仿宋_GB2312" w:hAnsi="仿宋_GB2312" w:eastAsia="仿宋_GB2312" w:cs="仿宋_GB2312"/>
          <w:color w:val="auto"/>
          <w:spacing w:val="6"/>
          <w:kern w:val="0"/>
          <w:sz w:val="32"/>
          <w:szCs w:val="32"/>
          <w:lang w:val="en-US" w:eastAsia="zh-CN" w:bidi="ar-SA"/>
        </w:rPr>
        <w:t>业务装备经费</w:t>
      </w:r>
      <w:r>
        <w:rPr>
          <w:rFonts w:hint="eastAsia" w:ascii="仿宋_GB2312" w:hAnsi="仿宋_GB2312" w:eastAsia="仿宋_GB2312" w:cs="仿宋_GB2312"/>
          <w:color w:val="auto"/>
          <w:spacing w:val="6"/>
          <w:kern w:val="0"/>
          <w:sz w:val="32"/>
          <w:szCs w:val="32"/>
          <w:lang w:val="en-US" w:eastAsia="en-US" w:bidi="ar-SA"/>
        </w:rPr>
        <w:t>”、“办案（业务）经费”等项目分别委托相关第三方机构开展绩效评价。从评价情况看</w:t>
      </w:r>
      <w:r>
        <w:rPr>
          <w:rFonts w:hint="eastAsia" w:ascii="仿宋_GB2312" w:hAnsi="仿宋_GB2312" w:eastAsia="仿宋_GB2312" w:cs="仿宋_GB2312"/>
          <w:color w:val="auto"/>
          <w:spacing w:val="6"/>
          <w:kern w:val="0"/>
          <w:sz w:val="32"/>
          <w:szCs w:val="32"/>
          <w:lang w:val="en-US" w:eastAsia="zh-CN" w:bidi="ar-SA"/>
        </w:rPr>
        <w:t>，以上项目预算执行总体规范，资金基本按既定用途投入检察业务运转，有力保障日常办案。项目产出基本达成预期目标，有效支撑各项检察业务有序推进。</w:t>
      </w:r>
    </w:p>
    <w:p w14:paraId="5345AF6C">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（二）部门（单位）决算中项目绩效自评结果。</w:t>
      </w:r>
    </w:p>
    <w:p w14:paraId="0CE86274">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呼伦贝尔市扎赉诺尔区人民检察院2025年度在决算中反映</w:t>
      </w:r>
      <w:r>
        <w:rPr>
          <w:rFonts w:hint="eastAsia" w:ascii="仿宋_GB2312" w:hAnsi="仿宋_GB2312" w:eastAsia="仿宋_GB2312" w:cs="仿宋_GB2312"/>
          <w:color w:val="auto"/>
          <w:spacing w:val="6"/>
          <w:kern w:val="0"/>
          <w:sz w:val="32"/>
          <w:szCs w:val="32"/>
          <w:lang w:val="en-US" w:eastAsia="zh-CN" w:bidi="ar-SA"/>
        </w:rPr>
        <w:t>2</w:t>
      </w:r>
      <w:r>
        <w:rPr>
          <w:rFonts w:hint="eastAsia" w:ascii="仿宋_GB2312" w:hAnsi="仿宋_GB2312" w:eastAsia="仿宋_GB2312" w:cs="仿宋_GB2312"/>
          <w:color w:val="auto"/>
          <w:spacing w:val="6"/>
          <w:kern w:val="0"/>
          <w:sz w:val="32"/>
          <w:szCs w:val="32"/>
          <w:lang w:val="en-US" w:eastAsia="en-US" w:bidi="ar-SA"/>
        </w:rPr>
        <w:t>个一般公共预算项目，共</w:t>
      </w:r>
      <w:r>
        <w:rPr>
          <w:rFonts w:hint="eastAsia" w:ascii="仿宋_GB2312" w:hAnsi="仿宋_GB2312" w:eastAsia="仿宋_GB2312" w:cs="仿宋_GB2312"/>
          <w:color w:val="auto"/>
          <w:spacing w:val="6"/>
          <w:kern w:val="0"/>
          <w:sz w:val="32"/>
          <w:szCs w:val="32"/>
          <w:lang w:val="en-US" w:eastAsia="zh-CN" w:bidi="ar-SA"/>
        </w:rPr>
        <w:t>2</w:t>
      </w:r>
      <w:r>
        <w:rPr>
          <w:rFonts w:hint="eastAsia" w:ascii="仿宋_GB2312" w:hAnsi="仿宋_GB2312" w:eastAsia="仿宋_GB2312" w:cs="仿宋_GB2312"/>
          <w:color w:val="auto"/>
          <w:spacing w:val="6"/>
          <w:kern w:val="0"/>
          <w:sz w:val="32"/>
          <w:szCs w:val="32"/>
          <w:lang w:val="en-US" w:eastAsia="en-US" w:bidi="ar-SA"/>
        </w:rPr>
        <w:t>个项目的绩效自评结果。</w:t>
      </w:r>
    </w:p>
    <w:p w14:paraId="23D26200">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1.办案（业务）经费项目自评综述：根据年初设定的绩效目标，项目自评得分</w:t>
      </w:r>
      <w:r>
        <w:rPr>
          <w:rFonts w:hint="eastAsia" w:ascii="仿宋_GB2312" w:hAnsi="仿宋_GB2312" w:eastAsia="仿宋_GB2312" w:cs="仿宋_GB2312"/>
          <w:color w:val="auto"/>
          <w:spacing w:val="6"/>
          <w:kern w:val="0"/>
          <w:sz w:val="32"/>
          <w:szCs w:val="32"/>
          <w:lang w:val="en-US" w:eastAsia="zh-CN" w:bidi="ar-SA"/>
        </w:rPr>
        <w:t>100</w:t>
      </w:r>
      <w:r>
        <w:rPr>
          <w:rFonts w:hint="eastAsia" w:ascii="仿宋_GB2312" w:hAnsi="仿宋_GB2312" w:eastAsia="仿宋_GB2312" w:cs="仿宋_GB2312"/>
          <w:color w:val="auto"/>
          <w:spacing w:val="6"/>
          <w:kern w:val="0"/>
          <w:sz w:val="32"/>
          <w:szCs w:val="32"/>
          <w:lang w:val="en-US" w:eastAsia="en-US" w:bidi="ar-SA"/>
        </w:rPr>
        <w:t>分。全年预算数为138.5万元，执行数为145.28万元，完成预算的</w:t>
      </w:r>
      <w:r>
        <w:rPr>
          <w:rFonts w:hint="eastAsia" w:ascii="仿宋_GB2312" w:hAnsi="仿宋_GB2312" w:eastAsia="仿宋_GB2312" w:cs="仿宋_GB2312"/>
          <w:color w:val="auto"/>
          <w:spacing w:val="6"/>
          <w:kern w:val="0"/>
          <w:sz w:val="32"/>
          <w:szCs w:val="32"/>
          <w:lang w:val="en-US" w:eastAsia="zh-CN" w:bidi="ar-SA"/>
        </w:rPr>
        <w:t>104.89</w:t>
      </w:r>
      <w:r>
        <w:rPr>
          <w:rFonts w:hint="eastAsia" w:ascii="仿宋_GB2312" w:hAnsi="仿宋_GB2312" w:eastAsia="仿宋_GB2312" w:cs="仿宋_GB2312"/>
          <w:color w:val="auto"/>
          <w:spacing w:val="6"/>
          <w:kern w:val="0"/>
          <w:sz w:val="32"/>
          <w:szCs w:val="32"/>
          <w:lang w:val="en-US" w:eastAsia="en-US" w:bidi="ar-SA"/>
        </w:rPr>
        <w:t>%。项目绩效目标完成情况：</w:t>
      </w:r>
      <w:r>
        <w:rPr>
          <w:rFonts w:hint="eastAsia" w:ascii="仿宋_GB2312" w:hAnsi="仿宋_GB2312" w:eastAsia="仿宋_GB2312" w:cs="仿宋_GB2312"/>
          <w:color w:val="auto"/>
          <w:spacing w:val="6"/>
          <w:kern w:val="0"/>
          <w:sz w:val="32"/>
          <w:szCs w:val="32"/>
          <w:lang w:val="en-US" w:eastAsia="zh-CN" w:bidi="ar-SA"/>
        </w:rPr>
        <w:t>经费足额保障案件办理、检察听证、法制宣传、、外勤履职等日常检察业务运转需求，顺利完成年度各类刑事案件、民事行政检察、公益诉讼案件办理任务，办案流程规范有序，有效保障检察职能依法履行，受理案件及时率、案件办理数量、案件审结率等核心指标全部达成年度目标</w:t>
      </w:r>
      <w:r>
        <w:rPr>
          <w:rFonts w:hint="eastAsia" w:ascii="仿宋_GB2312" w:hAnsi="仿宋_GB2312" w:eastAsia="仿宋_GB2312" w:cs="仿宋_GB2312"/>
          <w:color w:val="auto"/>
          <w:spacing w:val="6"/>
          <w:kern w:val="0"/>
          <w:sz w:val="32"/>
          <w:szCs w:val="32"/>
          <w:lang w:val="en-US" w:eastAsia="en-US" w:bidi="ar-SA"/>
        </w:rPr>
        <w:t>。发现的主要问题及原因：</w:t>
      </w:r>
      <w:r>
        <w:rPr>
          <w:rFonts w:hint="eastAsia" w:ascii="仿宋_GB2312" w:hAnsi="仿宋_GB2312" w:eastAsia="仿宋_GB2312" w:cs="仿宋_GB2312"/>
          <w:color w:val="auto"/>
          <w:spacing w:val="6"/>
          <w:kern w:val="0"/>
          <w:sz w:val="32"/>
          <w:szCs w:val="32"/>
          <w:lang w:val="en-US" w:eastAsia="zh-CN" w:bidi="ar-SA"/>
        </w:rPr>
        <w:t>预算编制精细化程度有待提升</w:t>
      </w:r>
      <w:r>
        <w:rPr>
          <w:rFonts w:hint="eastAsia" w:ascii="仿宋_GB2312" w:hAnsi="仿宋_GB2312" w:eastAsia="仿宋_GB2312" w:cs="仿宋_GB2312"/>
          <w:color w:val="auto"/>
          <w:spacing w:val="6"/>
          <w:kern w:val="0"/>
          <w:sz w:val="32"/>
          <w:szCs w:val="32"/>
          <w:lang w:val="en-US" w:eastAsia="en-US" w:bidi="ar-SA"/>
        </w:rPr>
        <w:t>。下一步改进措施：</w:t>
      </w:r>
      <w:r>
        <w:rPr>
          <w:rFonts w:hint="eastAsia" w:ascii="仿宋_GB2312" w:hAnsi="仿宋_GB2312" w:eastAsia="仿宋_GB2312" w:cs="仿宋_GB2312"/>
          <w:color w:val="auto"/>
          <w:spacing w:val="6"/>
          <w:kern w:val="0"/>
          <w:sz w:val="32"/>
          <w:szCs w:val="32"/>
          <w:lang w:val="en-US" w:eastAsia="zh-CN" w:bidi="ar-SA"/>
        </w:rPr>
        <w:t>科学研判年度办案工作量，结合历年支出数据细化预算测算</w:t>
      </w:r>
      <w:r>
        <w:rPr>
          <w:rFonts w:hint="eastAsia" w:ascii="仿宋_GB2312" w:hAnsi="仿宋_GB2312" w:eastAsia="仿宋_GB2312" w:cs="仿宋_GB2312"/>
          <w:color w:val="auto"/>
          <w:spacing w:val="6"/>
          <w:kern w:val="0"/>
          <w:sz w:val="32"/>
          <w:szCs w:val="32"/>
          <w:lang w:val="en-US" w:eastAsia="en-US" w:bidi="ar-SA"/>
        </w:rPr>
        <w:t>。</w:t>
      </w:r>
    </w:p>
    <w:p w14:paraId="554CCE33">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hint="eastAsia" w:ascii="仿宋_GB2312" w:hAnsi="仿宋_GB2312" w:eastAsia="仿宋_GB2312" w:cs="仿宋_GB2312"/>
          <w:color w:val="auto"/>
          <w:spacing w:val="6"/>
          <w:kern w:val="0"/>
          <w:sz w:val="32"/>
          <w:szCs w:val="32"/>
          <w:lang w:val="en-US" w:eastAsia="en-US" w:bidi="ar-SA"/>
        </w:rPr>
      </w:pPr>
      <w:r>
        <w:rPr>
          <w:rFonts w:hint="eastAsia" w:ascii="仿宋_GB2312" w:hAnsi="仿宋_GB2312" w:eastAsia="仿宋_GB2312" w:cs="仿宋_GB2312"/>
          <w:color w:val="auto"/>
          <w:spacing w:val="6"/>
          <w:kern w:val="0"/>
          <w:sz w:val="32"/>
          <w:szCs w:val="32"/>
          <w:lang w:val="en-US" w:eastAsia="en-US" w:bidi="ar-SA"/>
        </w:rPr>
        <w:t>2.业务装备经费项目自评综述：根据年初设定的绩效目标，项目自评得分</w:t>
      </w:r>
      <w:r>
        <w:rPr>
          <w:rFonts w:hint="eastAsia" w:ascii="仿宋_GB2312" w:hAnsi="仿宋_GB2312" w:eastAsia="仿宋_GB2312" w:cs="仿宋_GB2312"/>
          <w:color w:val="auto"/>
          <w:spacing w:val="6"/>
          <w:kern w:val="0"/>
          <w:sz w:val="32"/>
          <w:szCs w:val="32"/>
          <w:lang w:val="en-US" w:eastAsia="zh-CN" w:bidi="ar-SA"/>
        </w:rPr>
        <w:t>99.62</w:t>
      </w:r>
      <w:r>
        <w:rPr>
          <w:rFonts w:hint="eastAsia" w:ascii="仿宋_GB2312" w:hAnsi="仿宋_GB2312" w:eastAsia="仿宋_GB2312" w:cs="仿宋_GB2312"/>
          <w:color w:val="auto"/>
          <w:spacing w:val="6"/>
          <w:kern w:val="0"/>
          <w:sz w:val="32"/>
          <w:szCs w:val="32"/>
          <w:lang w:val="en-US" w:eastAsia="en-US" w:bidi="ar-SA"/>
        </w:rPr>
        <w:t>分。全年预算数为</w:t>
      </w:r>
      <w:r>
        <w:rPr>
          <w:rFonts w:hint="eastAsia" w:ascii="仿宋_GB2312" w:hAnsi="仿宋_GB2312" w:eastAsia="仿宋_GB2312" w:cs="仿宋_GB2312"/>
          <w:color w:val="auto"/>
          <w:spacing w:val="6"/>
          <w:kern w:val="0"/>
          <w:sz w:val="32"/>
          <w:szCs w:val="32"/>
          <w:lang w:val="en-US" w:eastAsia="zh-CN" w:bidi="ar-SA"/>
        </w:rPr>
        <w:t>47.58</w:t>
      </w:r>
      <w:r>
        <w:rPr>
          <w:rFonts w:hint="eastAsia" w:ascii="仿宋_GB2312" w:hAnsi="仿宋_GB2312" w:eastAsia="仿宋_GB2312" w:cs="仿宋_GB2312"/>
          <w:color w:val="auto"/>
          <w:spacing w:val="6"/>
          <w:kern w:val="0"/>
          <w:sz w:val="32"/>
          <w:szCs w:val="32"/>
          <w:lang w:val="en-US" w:eastAsia="en-US" w:bidi="ar-SA"/>
        </w:rPr>
        <w:t>万元，执行数为</w:t>
      </w:r>
      <w:r>
        <w:rPr>
          <w:rFonts w:hint="eastAsia" w:ascii="仿宋_GB2312" w:hAnsi="仿宋_GB2312" w:eastAsia="仿宋_GB2312" w:cs="仿宋_GB2312"/>
          <w:color w:val="auto"/>
          <w:spacing w:val="6"/>
          <w:kern w:val="0"/>
          <w:sz w:val="32"/>
          <w:szCs w:val="32"/>
          <w:lang w:val="en-US" w:eastAsia="zh-CN" w:bidi="ar-SA"/>
        </w:rPr>
        <w:t>47.39</w:t>
      </w:r>
      <w:r>
        <w:rPr>
          <w:rFonts w:hint="eastAsia" w:ascii="仿宋_GB2312" w:hAnsi="仿宋_GB2312" w:eastAsia="仿宋_GB2312" w:cs="仿宋_GB2312"/>
          <w:color w:val="auto"/>
          <w:spacing w:val="6"/>
          <w:kern w:val="0"/>
          <w:sz w:val="32"/>
          <w:szCs w:val="32"/>
          <w:lang w:val="en-US" w:eastAsia="en-US" w:bidi="ar-SA"/>
        </w:rPr>
        <w:t>万元，完成预算的</w:t>
      </w:r>
      <w:r>
        <w:rPr>
          <w:rFonts w:hint="eastAsia" w:ascii="仿宋_GB2312" w:hAnsi="仿宋_GB2312" w:eastAsia="仿宋_GB2312" w:cs="仿宋_GB2312"/>
          <w:color w:val="auto"/>
          <w:spacing w:val="6"/>
          <w:kern w:val="0"/>
          <w:sz w:val="32"/>
          <w:szCs w:val="32"/>
          <w:lang w:val="en-US" w:eastAsia="zh-CN" w:bidi="ar-SA"/>
        </w:rPr>
        <w:t>99.60</w:t>
      </w:r>
      <w:r>
        <w:rPr>
          <w:rFonts w:hint="eastAsia" w:ascii="仿宋_GB2312" w:hAnsi="仿宋_GB2312" w:eastAsia="仿宋_GB2312" w:cs="仿宋_GB2312"/>
          <w:color w:val="auto"/>
          <w:spacing w:val="6"/>
          <w:kern w:val="0"/>
          <w:sz w:val="32"/>
          <w:szCs w:val="32"/>
          <w:lang w:val="en-US" w:eastAsia="en-US" w:bidi="ar-SA"/>
        </w:rPr>
        <w:t>%。项目绩效目标完成情况：</w:t>
      </w:r>
      <w:r>
        <w:rPr>
          <w:rFonts w:hint="eastAsia" w:ascii="仿宋_GB2312" w:hAnsi="仿宋_GB2312" w:eastAsia="仿宋_GB2312" w:cs="仿宋_GB2312"/>
          <w:color w:val="auto"/>
          <w:spacing w:val="6"/>
          <w:kern w:val="0"/>
          <w:sz w:val="32"/>
          <w:szCs w:val="32"/>
          <w:lang w:val="en-US" w:eastAsia="zh-CN" w:bidi="ar-SA"/>
        </w:rPr>
        <w:t>资金主要用于检察业务装备购置，完成办案设备、信息化设备等保障任务，有效改善一线办案硬件条件，保障检察业务顺利开展，采购数量、干警满意度、装备质量验收合格率等核心绩效指标基本达成年度目标。</w:t>
      </w:r>
      <w:r>
        <w:rPr>
          <w:rFonts w:hint="eastAsia" w:ascii="仿宋_GB2312" w:hAnsi="仿宋_GB2312" w:eastAsia="仿宋_GB2312" w:cs="仿宋_GB2312"/>
          <w:color w:val="auto"/>
          <w:spacing w:val="6"/>
          <w:kern w:val="0"/>
          <w:sz w:val="32"/>
          <w:szCs w:val="32"/>
          <w:lang w:val="en-US" w:eastAsia="en-US" w:bidi="ar-SA"/>
        </w:rPr>
        <w:t>发现的主要问题及原因：</w:t>
      </w:r>
      <w:r>
        <w:rPr>
          <w:rFonts w:hint="eastAsia" w:ascii="仿宋_GB2312" w:hAnsi="仿宋_GB2312" w:eastAsia="仿宋_GB2312" w:cs="仿宋_GB2312"/>
          <w:color w:val="auto"/>
          <w:spacing w:val="6"/>
          <w:kern w:val="0"/>
          <w:sz w:val="32"/>
          <w:szCs w:val="32"/>
          <w:lang w:val="en-US" w:eastAsia="zh-CN" w:bidi="ar-SA"/>
        </w:rPr>
        <w:t>装备使用效益跟踪机制不够完善。</w:t>
      </w:r>
      <w:r>
        <w:rPr>
          <w:rFonts w:hint="eastAsia" w:ascii="仿宋_GB2312" w:hAnsi="仿宋_GB2312" w:eastAsia="仿宋_GB2312" w:cs="仿宋_GB2312"/>
          <w:color w:val="auto"/>
          <w:spacing w:val="6"/>
          <w:kern w:val="0"/>
          <w:sz w:val="32"/>
          <w:szCs w:val="32"/>
          <w:lang w:val="en-US" w:eastAsia="en-US" w:bidi="ar-SA"/>
        </w:rPr>
        <w:t>下一步改进措施：</w:t>
      </w:r>
      <w:r>
        <w:rPr>
          <w:rFonts w:hint="eastAsia" w:ascii="仿宋_GB2312" w:hAnsi="仿宋_GB2312" w:eastAsia="仿宋_GB2312" w:cs="仿宋_GB2312"/>
          <w:color w:val="auto"/>
          <w:spacing w:val="6"/>
          <w:kern w:val="0"/>
          <w:sz w:val="32"/>
          <w:szCs w:val="32"/>
          <w:lang w:val="en-US" w:eastAsia="zh-CN" w:bidi="ar-SA"/>
        </w:rPr>
        <w:t xml:space="preserve">常态化开展装备使用效益分析，进一步提升资产与资金使用效率。 </w:t>
      </w:r>
    </w:p>
    <w:tbl>
      <w:tblPr>
        <w:tblStyle w:val="20"/>
        <w:tblW w:w="82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60"/>
        <w:gridCol w:w="651"/>
        <w:gridCol w:w="692"/>
        <w:gridCol w:w="792"/>
        <w:gridCol w:w="571"/>
        <w:gridCol w:w="690"/>
        <w:gridCol w:w="689"/>
        <w:gridCol w:w="662"/>
        <w:gridCol w:w="627"/>
        <w:gridCol w:w="591"/>
        <w:gridCol w:w="592"/>
        <w:gridCol w:w="1091"/>
      </w:tblGrid>
      <w:tr w14:paraId="0FF98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trPr>
        <w:tc>
          <w:tcPr>
            <w:tcW w:w="820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063F396">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(2025年度）</w:t>
            </w:r>
          </w:p>
        </w:tc>
      </w:tr>
      <w:tr w14:paraId="02E50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E441B">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699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8D43CC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办案（业务）经费</w:t>
            </w:r>
          </w:p>
        </w:tc>
      </w:tr>
      <w:tr w14:paraId="31035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6ED19">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01EE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呼伦贝尔市扎赉诺尔区人民检察院部门</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0F50A">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9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F64A0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呼伦贝尔市扎赉诺尔区人民检察院</w:t>
            </w:r>
          </w:p>
        </w:tc>
      </w:tr>
      <w:tr w14:paraId="17B33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06F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74D9">
            <w:pPr>
              <w:rPr>
                <w:rFonts w:hint="eastAsia" w:ascii="宋体" w:hAnsi="宋体" w:eastAsia="宋体" w:cs="宋体"/>
                <w:i w:val="0"/>
                <w:color w:val="000000"/>
                <w:sz w:val="18"/>
                <w:szCs w:val="18"/>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FBB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3DD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0DA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C5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58C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768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1C254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36D6E">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F1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4C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421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138.5</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821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BA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5F4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B46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14:paraId="497A1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49634">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FAE4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7AFE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3E7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138.50 </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58BA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145.28 </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8598">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946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FDBA">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6D95D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95358">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A49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CAD34">
            <w:pPr>
              <w:rPr>
                <w:rFonts w:hint="eastAsia" w:ascii="宋体" w:hAnsi="宋体" w:eastAsia="宋体" w:cs="宋体"/>
                <w:i w:val="0"/>
                <w:color w:val="000000"/>
                <w:sz w:val="18"/>
                <w:szCs w:val="18"/>
                <w:u w:val="none"/>
              </w:rPr>
            </w:pP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07663">
            <w:pPr>
              <w:jc w:val="center"/>
              <w:rPr>
                <w:rFonts w:hint="eastAsia" w:ascii="宋体" w:hAnsi="宋体" w:eastAsia="宋体" w:cs="宋体"/>
                <w:i w:val="0"/>
                <w:color w:val="000000"/>
                <w:sz w:val="18"/>
                <w:szCs w:val="18"/>
                <w:u w:val="none"/>
              </w:rPr>
            </w:pP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5F2093">
            <w:pPr>
              <w:jc w:val="center"/>
              <w:rPr>
                <w:rFonts w:hint="eastAsia" w:ascii="宋体" w:hAnsi="宋体" w:eastAsia="宋体" w:cs="宋体"/>
                <w:i w:val="0"/>
                <w:color w:val="000000"/>
                <w:sz w:val="18"/>
                <w:szCs w:val="18"/>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850E">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EB4688">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BAF0">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142C6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72B86">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2C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EB64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3E8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CFD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A947">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C75F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E8883">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284AC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BCF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34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7A99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56CD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082C3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0F410">
            <w:pPr>
              <w:jc w:val="center"/>
              <w:rPr>
                <w:rFonts w:hint="eastAsia" w:ascii="宋体" w:hAnsi="宋体" w:eastAsia="宋体" w:cs="宋体"/>
                <w:i w:val="0"/>
                <w:color w:val="000000"/>
                <w:sz w:val="18"/>
                <w:szCs w:val="18"/>
                <w:u w:val="none"/>
              </w:rPr>
            </w:pPr>
          </w:p>
        </w:tc>
        <w:tc>
          <w:tcPr>
            <w:tcW w:w="34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2369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充分发挥检察职能，加强队伍建设，增强群众满意度。保障聘用人员的相关支出，使检察工作顺利运转。保障检察业务正常运转。保障执法执勤车辆的正常运行。</w:t>
            </w:r>
          </w:p>
        </w:tc>
        <w:tc>
          <w:tcPr>
            <w:tcW w:w="356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6A5D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2025年预算总额138.5万元，执行率104.9%，支出合规。办案质效方面，案件审结率均完成目标，案件质量评查优秀，经费使用合规高效，群众满意度达标。 </w:t>
            </w:r>
          </w:p>
        </w:tc>
      </w:tr>
      <w:tr w14:paraId="5005F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C49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16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83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F9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B6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E5C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FB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E2A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F62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EC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1A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3AF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025AB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restart"/>
            <w:tcBorders>
              <w:top w:val="single" w:color="000000" w:sz="4" w:space="0"/>
              <w:left w:val="single" w:color="000000" w:sz="4" w:space="0"/>
              <w:right w:val="single" w:color="000000" w:sz="4" w:space="0"/>
            </w:tcBorders>
            <w:shd w:val="clear" w:color="auto" w:fill="auto"/>
            <w:vAlign w:val="center"/>
          </w:tcPr>
          <w:p w14:paraId="6AE92C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651" w:type="dxa"/>
            <w:vMerge w:val="restart"/>
            <w:tcBorders>
              <w:top w:val="single" w:color="000000" w:sz="4" w:space="0"/>
              <w:left w:val="single" w:color="000000" w:sz="4" w:space="0"/>
              <w:right w:val="single" w:color="000000" w:sz="4" w:space="0"/>
            </w:tcBorders>
            <w:shd w:val="clear" w:color="auto" w:fill="auto"/>
            <w:vAlign w:val="center"/>
          </w:tcPr>
          <w:p w14:paraId="5E6E10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92" w:type="dxa"/>
            <w:vMerge w:val="restart"/>
            <w:tcBorders>
              <w:top w:val="single" w:color="000000" w:sz="4" w:space="0"/>
              <w:left w:val="single" w:color="000000" w:sz="4" w:space="0"/>
              <w:right w:val="single" w:color="000000" w:sz="4" w:space="0"/>
            </w:tcBorders>
            <w:shd w:val="clear" w:color="auto" w:fill="auto"/>
            <w:vAlign w:val="center"/>
          </w:tcPr>
          <w:p w14:paraId="0599B6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792" w:type="dxa"/>
            <w:tcBorders>
              <w:top w:val="single" w:color="000000" w:sz="4" w:space="0"/>
              <w:left w:val="single" w:color="000000" w:sz="4" w:space="0"/>
              <w:right w:val="single" w:color="000000" w:sz="4" w:space="0"/>
            </w:tcBorders>
            <w:shd w:val="clear" w:color="auto" w:fill="auto"/>
            <w:vAlign w:val="center"/>
          </w:tcPr>
          <w:p w14:paraId="041F3E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公开案件听证数</w:t>
            </w:r>
          </w:p>
        </w:tc>
        <w:tc>
          <w:tcPr>
            <w:tcW w:w="571" w:type="dxa"/>
            <w:tcBorders>
              <w:top w:val="single" w:color="000000" w:sz="4" w:space="0"/>
              <w:left w:val="single" w:color="000000" w:sz="4" w:space="0"/>
              <w:right w:val="single" w:color="000000" w:sz="4" w:space="0"/>
            </w:tcBorders>
            <w:shd w:val="clear" w:color="auto" w:fill="auto"/>
            <w:vAlign w:val="center"/>
          </w:tcPr>
          <w:p w14:paraId="213C91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90" w:type="dxa"/>
            <w:tcBorders>
              <w:top w:val="single" w:color="000000" w:sz="4" w:space="0"/>
              <w:left w:val="single" w:color="000000" w:sz="4" w:space="0"/>
              <w:right w:val="single" w:color="000000" w:sz="4" w:space="0"/>
            </w:tcBorders>
            <w:shd w:val="clear" w:color="auto" w:fill="auto"/>
            <w:vAlign w:val="center"/>
          </w:tcPr>
          <w:p w14:paraId="7C21E5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w:t>
            </w:r>
          </w:p>
        </w:tc>
        <w:tc>
          <w:tcPr>
            <w:tcW w:w="689" w:type="dxa"/>
            <w:tcBorders>
              <w:top w:val="single" w:color="000000" w:sz="4" w:space="0"/>
              <w:left w:val="single" w:color="000000" w:sz="4" w:space="0"/>
              <w:right w:val="single" w:color="000000" w:sz="4" w:space="0"/>
            </w:tcBorders>
            <w:shd w:val="clear" w:color="auto" w:fill="auto"/>
            <w:vAlign w:val="center"/>
          </w:tcPr>
          <w:p w14:paraId="3B3453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62" w:type="dxa"/>
            <w:tcBorders>
              <w:top w:val="single" w:color="000000" w:sz="4" w:space="0"/>
              <w:left w:val="single" w:color="000000" w:sz="4" w:space="0"/>
              <w:right w:val="single" w:color="000000" w:sz="4" w:space="0"/>
            </w:tcBorders>
            <w:shd w:val="clear" w:color="auto" w:fill="auto"/>
            <w:vAlign w:val="center"/>
          </w:tcPr>
          <w:p w14:paraId="506576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27" w:type="dxa"/>
            <w:tcBorders>
              <w:top w:val="single" w:color="000000" w:sz="4" w:space="0"/>
              <w:left w:val="single" w:color="000000" w:sz="4" w:space="0"/>
              <w:right w:val="single" w:color="000000" w:sz="4" w:space="0"/>
            </w:tcBorders>
            <w:shd w:val="clear" w:color="auto" w:fill="auto"/>
            <w:vAlign w:val="center"/>
          </w:tcPr>
          <w:p w14:paraId="76617C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591" w:type="dxa"/>
            <w:tcBorders>
              <w:top w:val="single" w:color="000000" w:sz="4" w:space="0"/>
              <w:left w:val="single" w:color="000000" w:sz="4" w:space="0"/>
              <w:right w:val="single" w:color="000000" w:sz="4" w:space="0"/>
            </w:tcBorders>
            <w:shd w:val="clear" w:color="auto" w:fill="auto"/>
            <w:vAlign w:val="center"/>
          </w:tcPr>
          <w:p w14:paraId="235E56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92" w:type="dxa"/>
            <w:tcBorders>
              <w:top w:val="single" w:color="000000" w:sz="4" w:space="0"/>
              <w:left w:val="single" w:color="000000" w:sz="4" w:space="0"/>
              <w:right w:val="single" w:color="000000" w:sz="4" w:space="0"/>
            </w:tcBorders>
            <w:shd w:val="clear" w:color="auto" w:fill="auto"/>
            <w:vAlign w:val="center"/>
          </w:tcPr>
          <w:p w14:paraId="62C284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91" w:type="dxa"/>
            <w:tcBorders>
              <w:top w:val="single" w:color="000000" w:sz="4" w:space="0"/>
              <w:left w:val="single" w:color="000000" w:sz="4" w:space="0"/>
              <w:right w:val="single" w:color="000000" w:sz="4" w:space="0"/>
            </w:tcBorders>
            <w:shd w:val="clear" w:color="auto" w:fill="auto"/>
            <w:vAlign w:val="center"/>
          </w:tcPr>
          <w:p w14:paraId="411BEFD3">
            <w:pPr>
              <w:jc w:val="center"/>
              <w:rPr>
                <w:rFonts w:hint="eastAsia" w:ascii="宋体" w:hAnsi="宋体" w:eastAsia="宋体" w:cs="宋体"/>
                <w:i w:val="0"/>
                <w:color w:val="000000"/>
                <w:sz w:val="18"/>
                <w:szCs w:val="18"/>
                <w:u w:val="none"/>
              </w:rPr>
            </w:pPr>
          </w:p>
        </w:tc>
      </w:tr>
      <w:tr w14:paraId="5FD7B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26339B03">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1C5E7C9E">
            <w:pPr>
              <w:jc w:val="center"/>
              <w:rPr>
                <w:rFonts w:hint="eastAsia" w:ascii="宋体" w:hAnsi="宋体" w:eastAsia="宋体" w:cs="宋体"/>
                <w:i w:val="0"/>
                <w:color w:val="000000"/>
                <w:sz w:val="18"/>
                <w:szCs w:val="18"/>
                <w:u w:val="none"/>
              </w:rPr>
            </w:pPr>
          </w:p>
        </w:tc>
        <w:tc>
          <w:tcPr>
            <w:tcW w:w="692" w:type="dxa"/>
            <w:vMerge w:val="continue"/>
            <w:tcBorders>
              <w:top w:val="single" w:color="000000" w:sz="4" w:space="0"/>
              <w:left w:val="single" w:color="000000" w:sz="4" w:space="0"/>
              <w:right w:val="single" w:color="000000" w:sz="4" w:space="0"/>
            </w:tcBorders>
            <w:shd w:val="clear" w:color="auto" w:fill="auto"/>
            <w:vAlign w:val="center"/>
          </w:tcPr>
          <w:p w14:paraId="0FAE21ED">
            <w:pPr>
              <w:jc w:val="center"/>
              <w:rPr>
                <w:rFonts w:hint="eastAsia" w:ascii="宋体" w:hAnsi="宋体" w:eastAsia="宋体" w:cs="宋体"/>
                <w:i w:val="0"/>
                <w:color w:val="000000"/>
                <w:sz w:val="18"/>
                <w:szCs w:val="18"/>
                <w:u w:val="none"/>
              </w:rPr>
            </w:pPr>
          </w:p>
        </w:tc>
        <w:tc>
          <w:tcPr>
            <w:tcW w:w="792" w:type="dxa"/>
            <w:tcBorders>
              <w:top w:val="single" w:color="000000" w:sz="4" w:space="0"/>
              <w:left w:val="single" w:color="000000" w:sz="4" w:space="0"/>
              <w:right w:val="single" w:color="000000" w:sz="4" w:space="0"/>
            </w:tcBorders>
            <w:shd w:val="clear" w:color="auto" w:fill="auto"/>
            <w:vAlign w:val="center"/>
          </w:tcPr>
          <w:p w14:paraId="7AFA08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信息网络平台运维次数</w:t>
            </w:r>
          </w:p>
        </w:tc>
        <w:tc>
          <w:tcPr>
            <w:tcW w:w="571" w:type="dxa"/>
            <w:tcBorders>
              <w:top w:val="single" w:color="000000" w:sz="4" w:space="0"/>
              <w:left w:val="single" w:color="000000" w:sz="4" w:space="0"/>
              <w:right w:val="single" w:color="000000" w:sz="4" w:space="0"/>
            </w:tcBorders>
            <w:shd w:val="clear" w:color="auto" w:fill="auto"/>
            <w:vAlign w:val="center"/>
          </w:tcPr>
          <w:p w14:paraId="6D81EF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90" w:type="dxa"/>
            <w:tcBorders>
              <w:top w:val="single" w:color="000000" w:sz="4" w:space="0"/>
              <w:left w:val="single" w:color="000000" w:sz="4" w:space="0"/>
              <w:right w:val="single" w:color="000000" w:sz="4" w:space="0"/>
            </w:tcBorders>
            <w:shd w:val="clear" w:color="auto" w:fill="auto"/>
            <w:vAlign w:val="center"/>
          </w:tcPr>
          <w:p w14:paraId="4EA47C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89" w:type="dxa"/>
            <w:tcBorders>
              <w:top w:val="single" w:color="000000" w:sz="4" w:space="0"/>
              <w:left w:val="single" w:color="000000" w:sz="4" w:space="0"/>
              <w:right w:val="single" w:color="000000" w:sz="4" w:space="0"/>
            </w:tcBorders>
            <w:shd w:val="clear" w:color="auto" w:fill="auto"/>
            <w:vAlign w:val="center"/>
          </w:tcPr>
          <w:p w14:paraId="0A836A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right w:val="single" w:color="000000" w:sz="4" w:space="0"/>
            </w:tcBorders>
            <w:shd w:val="clear" w:color="auto" w:fill="auto"/>
            <w:vAlign w:val="center"/>
          </w:tcPr>
          <w:p w14:paraId="4B2F52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627" w:type="dxa"/>
            <w:tcBorders>
              <w:top w:val="single" w:color="000000" w:sz="4" w:space="0"/>
              <w:left w:val="single" w:color="000000" w:sz="4" w:space="0"/>
              <w:right w:val="single" w:color="000000" w:sz="4" w:space="0"/>
            </w:tcBorders>
            <w:shd w:val="clear" w:color="auto" w:fill="auto"/>
            <w:vAlign w:val="center"/>
          </w:tcPr>
          <w:p w14:paraId="04BFFF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591" w:type="dxa"/>
            <w:tcBorders>
              <w:top w:val="single" w:color="000000" w:sz="4" w:space="0"/>
              <w:left w:val="single" w:color="000000" w:sz="4" w:space="0"/>
              <w:right w:val="single" w:color="000000" w:sz="4" w:space="0"/>
            </w:tcBorders>
            <w:shd w:val="clear" w:color="auto" w:fill="auto"/>
            <w:vAlign w:val="center"/>
          </w:tcPr>
          <w:p w14:paraId="50052D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0846A2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76B767D0">
            <w:pPr>
              <w:jc w:val="center"/>
              <w:rPr>
                <w:rFonts w:hint="eastAsia" w:ascii="宋体" w:hAnsi="宋体" w:eastAsia="宋体" w:cs="宋体"/>
                <w:i w:val="0"/>
                <w:color w:val="000000"/>
                <w:sz w:val="18"/>
                <w:szCs w:val="18"/>
                <w:u w:val="none"/>
              </w:rPr>
            </w:pPr>
          </w:p>
        </w:tc>
      </w:tr>
      <w:tr w14:paraId="483A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564415EE">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15EAFABC">
            <w:pPr>
              <w:jc w:val="center"/>
              <w:rPr>
                <w:rFonts w:hint="eastAsia" w:ascii="宋体" w:hAnsi="宋体" w:eastAsia="宋体" w:cs="宋体"/>
                <w:i w:val="0"/>
                <w:color w:val="000000"/>
                <w:sz w:val="18"/>
                <w:szCs w:val="18"/>
                <w:u w:val="none"/>
              </w:rPr>
            </w:pPr>
          </w:p>
        </w:tc>
        <w:tc>
          <w:tcPr>
            <w:tcW w:w="692" w:type="dxa"/>
            <w:vMerge w:val="restart"/>
            <w:tcBorders>
              <w:top w:val="single" w:color="000000" w:sz="4" w:space="0"/>
              <w:left w:val="single" w:color="000000" w:sz="4" w:space="0"/>
              <w:right w:val="single" w:color="000000" w:sz="4" w:space="0"/>
            </w:tcBorders>
            <w:shd w:val="clear" w:color="auto" w:fill="auto"/>
            <w:vAlign w:val="center"/>
          </w:tcPr>
          <w:p w14:paraId="7E18A6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792" w:type="dxa"/>
            <w:tcBorders>
              <w:top w:val="single" w:color="000000" w:sz="4" w:space="0"/>
              <w:left w:val="single" w:color="000000" w:sz="4" w:space="0"/>
              <w:right w:val="single" w:color="000000" w:sz="4" w:space="0"/>
            </w:tcBorders>
            <w:shd w:val="clear" w:color="auto" w:fill="auto"/>
            <w:vAlign w:val="center"/>
          </w:tcPr>
          <w:p w14:paraId="0C7D09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网络正常运行率</w:t>
            </w:r>
          </w:p>
        </w:tc>
        <w:tc>
          <w:tcPr>
            <w:tcW w:w="571" w:type="dxa"/>
            <w:tcBorders>
              <w:top w:val="single" w:color="000000" w:sz="4" w:space="0"/>
              <w:left w:val="single" w:color="000000" w:sz="4" w:space="0"/>
              <w:right w:val="single" w:color="000000" w:sz="4" w:space="0"/>
            </w:tcBorders>
            <w:shd w:val="clear" w:color="auto" w:fill="auto"/>
            <w:vAlign w:val="center"/>
          </w:tcPr>
          <w:p w14:paraId="483058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90" w:type="dxa"/>
            <w:tcBorders>
              <w:top w:val="single" w:color="000000" w:sz="4" w:space="0"/>
              <w:left w:val="single" w:color="000000" w:sz="4" w:space="0"/>
              <w:right w:val="single" w:color="000000" w:sz="4" w:space="0"/>
            </w:tcBorders>
            <w:shd w:val="clear" w:color="auto" w:fill="auto"/>
            <w:vAlign w:val="center"/>
          </w:tcPr>
          <w:p w14:paraId="3C6D84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89" w:type="dxa"/>
            <w:tcBorders>
              <w:top w:val="single" w:color="000000" w:sz="4" w:space="0"/>
              <w:left w:val="single" w:color="000000" w:sz="4" w:space="0"/>
              <w:right w:val="single" w:color="000000" w:sz="4" w:space="0"/>
            </w:tcBorders>
            <w:shd w:val="clear" w:color="auto" w:fill="auto"/>
            <w:vAlign w:val="center"/>
          </w:tcPr>
          <w:p w14:paraId="31ED3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62" w:type="dxa"/>
            <w:tcBorders>
              <w:top w:val="single" w:color="000000" w:sz="4" w:space="0"/>
              <w:left w:val="single" w:color="000000" w:sz="4" w:space="0"/>
              <w:right w:val="single" w:color="000000" w:sz="4" w:space="0"/>
            </w:tcBorders>
            <w:shd w:val="clear" w:color="auto" w:fill="auto"/>
            <w:vAlign w:val="center"/>
          </w:tcPr>
          <w:p w14:paraId="2873E8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627" w:type="dxa"/>
            <w:tcBorders>
              <w:top w:val="single" w:color="000000" w:sz="4" w:space="0"/>
              <w:left w:val="single" w:color="000000" w:sz="4" w:space="0"/>
              <w:right w:val="single" w:color="000000" w:sz="4" w:space="0"/>
            </w:tcBorders>
            <w:shd w:val="clear" w:color="auto" w:fill="auto"/>
            <w:vAlign w:val="center"/>
          </w:tcPr>
          <w:p w14:paraId="3084D2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91" w:type="dxa"/>
            <w:tcBorders>
              <w:top w:val="single" w:color="000000" w:sz="4" w:space="0"/>
              <w:left w:val="single" w:color="000000" w:sz="4" w:space="0"/>
              <w:right w:val="single" w:color="000000" w:sz="4" w:space="0"/>
            </w:tcBorders>
            <w:shd w:val="clear" w:color="auto" w:fill="auto"/>
            <w:vAlign w:val="center"/>
          </w:tcPr>
          <w:p w14:paraId="034D79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6C3E06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00F95EAA">
            <w:pPr>
              <w:jc w:val="center"/>
              <w:rPr>
                <w:rFonts w:hint="eastAsia" w:ascii="宋体" w:hAnsi="宋体" w:eastAsia="宋体" w:cs="宋体"/>
                <w:i w:val="0"/>
                <w:color w:val="000000"/>
                <w:sz w:val="18"/>
                <w:szCs w:val="18"/>
                <w:u w:val="none"/>
              </w:rPr>
            </w:pPr>
          </w:p>
        </w:tc>
      </w:tr>
      <w:tr w14:paraId="4BADD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07746C52">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46BCA359">
            <w:pPr>
              <w:jc w:val="center"/>
              <w:rPr>
                <w:rFonts w:hint="eastAsia" w:ascii="宋体" w:hAnsi="宋体" w:eastAsia="宋体" w:cs="宋体"/>
                <w:i w:val="0"/>
                <w:color w:val="000000"/>
                <w:sz w:val="18"/>
                <w:szCs w:val="18"/>
                <w:u w:val="none"/>
              </w:rPr>
            </w:pPr>
          </w:p>
        </w:tc>
        <w:tc>
          <w:tcPr>
            <w:tcW w:w="692" w:type="dxa"/>
            <w:vMerge w:val="continue"/>
            <w:tcBorders>
              <w:top w:val="single" w:color="000000" w:sz="4" w:space="0"/>
              <w:left w:val="single" w:color="000000" w:sz="4" w:space="0"/>
              <w:right w:val="single" w:color="000000" w:sz="4" w:space="0"/>
            </w:tcBorders>
            <w:shd w:val="clear" w:color="auto" w:fill="auto"/>
            <w:vAlign w:val="center"/>
          </w:tcPr>
          <w:p w14:paraId="1C307EC6">
            <w:pPr>
              <w:jc w:val="center"/>
              <w:rPr>
                <w:rFonts w:hint="eastAsia" w:ascii="宋体" w:hAnsi="宋体" w:eastAsia="宋体" w:cs="宋体"/>
                <w:i w:val="0"/>
                <w:color w:val="000000"/>
                <w:sz w:val="18"/>
                <w:szCs w:val="18"/>
                <w:u w:val="none"/>
              </w:rPr>
            </w:pPr>
          </w:p>
        </w:tc>
        <w:tc>
          <w:tcPr>
            <w:tcW w:w="792" w:type="dxa"/>
            <w:tcBorders>
              <w:top w:val="single" w:color="000000" w:sz="4" w:space="0"/>
              <w:left w:val="single" w:color="000000" w:sz="4" w:space="0"/>
              <w:right w:val="single" w:color="000000" w:sz="4" w:space="0"/>
            </w:tcBorders>
            <w:shd w:val="clear" w:color="auto" w:fill="auto"/>
            <w:vAlign w:val="center"/>
          </w:tcPr>
          <w:p w14:paraId="2061FC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案件审结率</w:t>
            </w:r>
          </w:p>
        </w:tc>
        <w:tc>
          <w:tcPr>
            <w:tcW w:w="571" w:type="dxa"/>
            <w:tcBorders>
              <w:top w:val="single" w:color="000000" w:sz="4" w:space="0"/>
              <w:left w:val="single" w:color="000000" w:sz="4" w:space="0"/>
              <w:right w:val="single" w:color="000000" w:sz="4" w:space="0"/>
            </w:tcBorders>
            <w:shd w:val="clear" w:color="auto" w:fill="auto"/>
            <w:vAlign w:val="center"/>
          </w:tcPr>
          <w:p w14:paraId="702E82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90" w:type="dxa"/>
            <w:tcBorders>
              <w:top w:val="single" w:color="000000" w:sz="4" w:space="0"/>
              <w:left w:val="single" w:color="000000" w:sz="4" w:space="0"/>
              <w:right w:val="single" w:color="000000" w:sz="4" w:space="0"/>
            </w:tcBorders>
            <w:shd w:val="clear" w:color="auto" w:fill="auto"/>
            <w:vAlign w:val="center"/>
          </w:tcPr>
          <w:p w14:paraId="68FB3F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89" w:type="dxa"/>
            <w:tcBorders>
              <w:top w:val="single" w:color="000000" w:sz="4" w:space="0"/>
              <w:left w:val="single" w:color="000000" w:sz="4" w:space="0"/>
              <w:right w:val="single" w:color="000000" w:sz="4" w:space="0"/>
            </w:tcBorders>
            <w:shd w:val="clear" w:color="auto" w:fill="auto"/>
            <w:vAlign w:val="center"/>
          </w:tcPr>
          <w:p w14:paraId="72E239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62" w:type="dxa"/>
            <w:tcBorders>
              <w:top w:val="single" w:color="000000" w:sz="4" w:space="0"/>
              <w:left w:val="single" w:color="000000" w:sz="4" w:space="0"/>
              <w:right w:val="single" w:color="000000" w:sz="4" w:space="0"/>
            </w:tcBorders>
            <w:shd w:val="clear" w:color="auto" w:fill="auto"/>
            <w:vAlign w:val="center"/>
          </w:tcPr>
          <w:p w14:paraId="05FBB7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95.24</w:t>
            </w:r>
          </w:p>
        </w:tc>
        <w:tc>
          <w:tcPr>
            <w:tcW w:w="627" w:type="dxa"/>
            <w:tcBorders>
              <w:top w:val="single" w:color="000000" w:sz="4" w:space="0"/>
              <w:left w:val="single" w:color="000000" w:sz="4" w:space="0"/>
              <w:right w:val="single" w:color="000000" w:sz="4" w:space="0"/>
            </w:tcBorders>
            <w:shd w:val="clear" w:color="auto" w:fill="auto"/>
            <w:vAlign w:val="center"/>
          </w:tcPr>
          <w:p w14:paraId="036FC4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91" w:type="dxa"/>
            <w:tcBorders>
              <w:top w:val="single" w:color="000000" w:sz="4" w:space="0"/>
              <w:left w:val="single" w:color="000000" w:sz="4" w:space="0"/>
              <w:right w:val="single" w:color="000000" w:sz="4" w:space="0"/>
            </w:tcBorders>
            <w:shd w:val="clear" w:color="auto" w:fill="auto"/>
            <w:vAlign w:val="center"/>
          </w:tcPr>
          <w:p w14:paraId="7FBB38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92" w:type="dxa"/>
            <w:tcBorders>
              <w:top w:val="single" w:color="000000" w:sz="4" w:space="0"/>
              <w:left w:val="single" w:color="000000" w:sz="4" w:space="0"/>
              <w:right w:val="single" w:color="000000" w:sz="4" w:space="0"/>
            </w:tcBorders>
            <w:shd w:val="clear" w:color="auto" w:fill="auto"/>
            <w:vAlign w:val="center"/>
          </w:tcPr>
          <w:p w14:paraId="63596C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91" w:type="dxa"/>
            <w:tcBorders>
              <w:top w:val="single" w:color="000000" w:sz="4" w:space="0"/>
              <w:left w:val="single" w:color="000000" w:sz="4" w:space="0"/>
              <w:right w:val="single" w:color="000000" w:sz="4" w:space="0"/>
            </w:tcBorders>
            <w:shd w:val="clear" w:color="auto" w:fill="auto"/>
            <w:vAlign w:val="center"/>
          </w:tcPr>
          <w:p w14:paraId="43F688BB">
            <w:pPr>
              <w:jc w:val="center"/>
              <w:rPr>
                <w:rFonts w:hint="eastAsia" w:ascii="宋体" w:hAnsi="宋体" w:eastAsia="宋体" w:cs="宋体"/>
                <w:i w:val="0"/>
                <w:color w:val="000000"/>
                <w:sz w:val="18"/>
                <w:szCs w:val="18"/>
                <w:u w:val="none"/>
              </w:rPr>
            </w:pPr>
          </w:p>
        </w:tc>
      </w:tr>
      <w:tr w14:paraId="55144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3735A417">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1FBB62B6">
            <w:pPr>
              <w:jc w:val="center"/>
              <w:rPr>
                <w:rFonts w:hint="eastAsia" w:ascii="宋体" w:hAnsi="宋体" w:eastAsia="宋体" w:cs="宋体"/>
                <w:i w:val="0"/>
                <w:color w:val="000000"/>
                <w:sz w:val="18"/>
                <w:szCs w:val="18"/>
                <w:u w:val="none"/>
              </w:rPr>
            </w:pPr>
          </w:p>
        </w:tc>
        <w:tc>
          <w:tcPr>
            <w:tcW w:w="692" w:type="dxa"/>
            <w:vMerge w:val="restart"/>
            <w:tcBorders>
              <w:top w:val="single" w:color="000000" w:sz="4" w:space="0"/>
              <w:left w:val="single" w:color="000000" w:sz="4" w:space="0"/>
              <w:right w:val="single" w:color="000000" w:sz="4" w:space="0"/>
            </w:tcBorders>
            <w:shd w:val="clear" w:color="auto" w:fill="auto"/>
            <w:vAlign w:val="center"/>
          </w:tcPr>
          <w:p w14:paraId="4AFF2A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792" w:type="dxa"/>
            <w:tcBorders>
              <w:top w:val="single" w:color="000000" w:sz="4" w:space="0"/>
              <w:left w:val="single" w:color="000000" w:sz="4" w:space="0"/>
              <w:right w:val="single" w:color="000000" w:sz="4" w:space="0"/>
            </w:tcBorders>
            <w:shd w:val="clear" w:color="auto" w:fill="auto"/>
            <w:vAlign w:val="center"/>
          </w:tcPr>
          <w:p w14:paraId="7AED25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审查逮捕案件结案</w:t>
            </w:r>
          </w:p>
        </w:tc>
        <w:tc>
          <w:tcPr>
            <w:tcW w:w="571" w:type="dxa"/>
            <w:tcBorders>
              <w:top w:val="single" w:color="000000" w:sz="4" w:space="0"/>
              <w:left w:val="single" w:color="000000" w:sz="4" w:space="0"/>
              <w:right w:val="single" w:color="000000" w:sz="4" w:space="0"/>
            </w:tcBorders>
            <w:shd w:val="clear" w:color="auto" w:fill="auto"/>
            <w:vAlign w:val="center"/>
          </w:tcPr>
          <w:p w14:paraId="294FC6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90" w:type="dxa"/>
            <w:tcBorders>
              <w:top w:val="single" w:color="000000" w:sz="4" w:space="0"/>
              <w:left w:val="single" w:color="000000" w:sz="4" w:space="0"/>
              <w:right w:val="single" w:color="000000" w:sz="4" w:space="0"/>
            </w:tcBorders>
            <w:shd w:val="clear" w:color="auto" w:fill="auto"/>
            <w:vAlign w:val="center"/>
          </w:tcPr>
          <w:p w14:paraId="3F1F5B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89" w:type="dxa"/>
            <w:tcBorders>
              <w:top w:val="single" w:color="000000" w:sz="4" w:space="0"/>
              <w:left w:val="single" w:color="000000" w:sz="4" w:space="0"/>
              <w:right w:val="single" w:color="000000" w:sz="4" w:space="0"/>
            </w:tcBorders>
            <w:shd w:val="clear" w:color="auto" w:fill="auto"/>
            <w:vAlign w:val="center"/>
          </w:tcPr>
          <w:p w14:paraId="130810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62" w:type="dxa"/>
            <w:tcBorders>
              <w:top w:val="single" w:color="000000" w:sz="4" w:space="0"/>
              <w:left w:val="single" w:color="000000" w:sz="4" w:space="0"/>
              <w:right w:val="single" w:color="000000" w:sz="4" w:space="0"/>
            </w:tcBorders>
            <w:shd w:val="clear" w:color="auto" w:fill="auto"/>
            <w:vAlign w:val="center"/>
          </w:tcPr>
          <w:p w14:paraId="59937F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627" w:type="dxa"/>
            <w:tcBorders>
              <w:top w:val="single" w:color="000000" w:sz="4" w:space="0"/>
              <w:left w:val="single" w:color="000000" w:sz="4" w:space="0"/>
              <w:right w:val="single" w:color="000000" w:sz="4" w:space="0"/>
            </w:tcBorders>
            <w:shd w:val="clear" w:color="auto" w:fill="auto"/>
            <w:vAlign w:val="center"/>
          </w:tcPr>
          <w:p w14:paraId="0012B7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天</w:t>
            </w:r>
          </w:p>
        </w:tc>
        <w:tc>
          <w:tcPr>
            <w:tcW w:w="591" w:type="dxa"/>
            <w:tcBorders>
              <w:top w:val="single" w:color="000000" w:sz="4" w:space="0"/>
              <w:left w:val="single" w:color="000000" w:sz="4" w:space="0"/>
              <w:right w:val="single" w:color="000000" w:sz="4" w:space="0"/>
            </w:tcBorders>
            <w:shd w:val="clear" w:color="auto" w:fill="auto"/>
            <w:vAlign w:val="center"/>
          </w:tcPr>
          <w:p w14:paraId="58177A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0B2A5E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62793E0D">
            <w:pPr>
              <w:jc w:val="center"/>
              <w:rPr>
                <w:rFonts w:hint="eastAsia" w:ascii="宋体" w:hAnsi="宋体" w:eastAsia="宋体" w:cs="宋体"/>
                <w:i w:val="0"/>
                <w:color w:val="000000"/>
                <w:sz w:val="18"/>
                <w:szCs w:val="18"/>
                <w:u w:val="none"/>
              </w:rPr>
            </w:pPr>
          </w:p>
        </w:tc>
      </w:tr>
      <w:tr w14:paraId="48798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07C773CB">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5BE6EB21">
            <w:pPr>
              <w:jc w:val="center"/>
              <w:rPr>
                <w:rFonts w:hint="eastAsia" w:ascii="宋体" w:hAnsi="宋体" w:eastAsia="宋体" w:cs="宋体"/>
                <w:i w:val="0"/>
                <w:color w:val="000000"/>
                <w:sz w:val="18"/>
                <w:szCs w:val="18"/>
                <w:u w:val="none"/>
              </w:rPr>
            </w:pPr>
          </w:p>
        </w:tc>
        <w:tc>
          <w:tcPr>
            <w:tcW w:w="692" w:type="dxa"/>
            <w:vMerge w:val="continue"/>
            <w:tcBorders>
              <w:top w:val="single" w:color="000000" w:sz="4" w:space="0"/>
              <w:left w:val="single" w:color="000000" w:sz="4" w:space="0"/>
              <w:right w:val="single" w:color="000000" w:sz="4" w:space="0"/>
            </w:tcBorders>
            <w:shd w:val="clear" w:color="auto" w:fill="auto"/>
            <w:vAlign w:val="center"/>
          </w:tcPr>
          <w:p w14:paraId="24100434">
            <w:pPr>
              <w:jc w:val="center"/>
              <w:rPr>
                <w:rFonts w:hint="eastAsia" w:ascii="宋体" w:hAnsi="宋体" w:eastAsia="宋体" w:cs="宋体"/>
                <w:i w:val="0"/>
                <w:color w:val="000000"/>
                <w:sz w:val="18"/>
                <w:szCs w:val="18"/>
                <w:u w:val="none"/>
              </w:rPr>
            </w:pPr>
          </w:p>
        </w:tc>
        <w:tc>
          <w:tcPr>
            <w:tcW w:w="792" w:type="dxa"/>
            <w:tcBorders>
              <w:top w:val="single" w:color="000000" w:sz="4" w:space="0"/>
              <w:left w:val="single" w:color="000000" w:sz="4" w:space="0"/>
              <w:right w:val="single" w:color="000000" w:sz="4" w:space="0"/>
            </w:tcBorders>
            <w:shd w:val="clear" w:color="auto" w:fill="auto"/>
            <w:vAlign w:val="center"/>
          </w:tcPr>
          <w:p w14:paraId="78D0A1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受理案件及时率</w:t>
            </w:r>
          </w:p>
        </w:tc>
        <w:tc>
          <w:tcPr>
            <w:tcW w:w="571" w:type="dxa"/>
            <w:tcBorders>
              <w:top w:val="single" w:color="000000" w:sz="4" w:space="0"/>
              <w:left w:val="single" w:color="000000" w:sz="4" w:space="0"/>
              <w:right w:val="single" w:color="000000" w:sz="4" w:space="0"/>
            </w:tcBorders>
            <w:shd w:val="clear" w:color="auto" w:fill="auto"/>
            <w:vAlign w:val="center"/>
          </w:tcPr>
          <w:p w14:paraId="4BC9A0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690" w:type="dxa"/>
            <w:tcBorders>
              <w:top w:val="single" w:color="000000" w:sz="4" w:space="0"/>
              <w:left w:val="single" w:color="000000" w:sz="4" w:space="0"/>
              <w:right w:val="single" w:color="000000" w:sz="4" w:space="0"/>
            </w:tcBorders>
            <w:shd w:val="clear" w:color="auto" w:fill="auto"/>
            <w:vAlign w:val="center"/>
          </w:tcPr>
          <w:p w14:paraId="6045C0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689" w:type="dxa"/>
            <w:tcBorders>
              <w:top w:val="single" w:color="000000" w:sz="4" w:space="0"/>
              <w:left w:val="single" w:color="000000" w:sz="4" w:space="0"/>
              <w:right w:val="single" w:color="000000" w:sz="4" w:space="0"/>
            </w:tcBorders>
            <w:shd w:val="clear" w:color="auto" w:fill="auto"/>
            <w:vAlign w:val="center"/>
          </w:tcPr>
          <w:p w14:paraId="7F827C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62" w:type="dxa"/>
            <w:tcBorders>
              <w:top w:val="single" w:color="000000" w:sz="4" w:space="0"/>
              <w:left w:val="single" w:color="000000" w:sz="4" w:space="0"/>
              <w:right w:val="single" w:color="000000" w:sz="4" w:space="0"/>
            </w:tcBorders>
            <w:shd w:val="clear" w:color="auto" w:fill="auto"/>
            <w:vAlign w:val="center"/>
          </w:tcPr>
          <w:p w14:paraId="330961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7" w:type="dxa"/>
            <w:tcBorders>
              <w:top w:val="single" w:color="000000" w:sz="4" w:space="0"/>
              <w:left w:val="single" w:color="000000" w:sz="4" w:space="0"/>
              <w:right w:val="single" w:color="000000" w:sz="4" w:space="0"/>
            </w:tcBorders>
            <w:shd w:val="clear" w:color="auto" w:fill="auto"/>
            <w:vAlign w:val="center"/>
          </w:tcPr>
          <w:p w14:paraId="23FDD7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91" w:type="dxa"/>
            <w:tcBorders>
              <w:top w:val="single" w:color="000000" w:sz="4" w:space="0"/>
              <w:left w:val="single" w:color="000000" w:sz="4" w:space="0"/>
              <w:right w:val="single" w:color="000000" w:sz="4" w:space="0"/>
            </w:tcBorders>
            <w:shd w:val="clear" w:color="auto" w:fill="auto"/>
            <w:vAlign w:val="center"/>
          </w:tcPr>
          <w:p w14:paraId="165C45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0F359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124D3642">
            <w:pPr>
              <w:jc w:val="center"/>
              <w:rPr>
                <w:rFonts w:hint="eastAsia" w:ascii="宋体" w:hAnsi="宋体" w:eastAsia="宋体" w:cs="宋体"/>
                <w:i w:val="0"/>
                <w:color w:val="000000"/>
                <w:sz w:val="18"/>
                <w:szCs w:val="18"/>
                <w:u w:val="none"/>
              </w:rPr>
            </w:pPr>
          </w:p>
        </w:tc>
      </w:tr>
      <w:tr w14:paraId="25A18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1899354A">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64BB4DD8">
            <w:pPr>
              <w:jc w:val="center"/>
              <w:rPr>
                <w:rFonts w:hint="eastAsia" w:ascii="宋体" w:hAnsi="宋体" w:eastAsia="宋体" w:cs="宋体"/>
                <w:i w:val="0"/>
                <w:color w:val="000000"/>
                <w:sz w:val="18"/>
                <w:szCs w:val="18"/>
                <w:u w:val="none"/>
              </w:rPr>
            </w:pPr>
          </w:p>
        </w:tc>
        <w:tc>
          <w:tcPr>
            <w:tcW w:w="692" w:type="dxa"/>
            <w:vMerge w:val="restart"/>
            <w:tcBorders>
              <w:top w:val="single" w:color="000000" w:sz="4" w:space="0"/>
              <w:left w:val="single" w:color="000000" w:sz="4" w:space="0"/>
              <w:right w:val="single" w:color="000000" w:sz="4" w:space="0"/>
            </w:tcBorders>
            <w:shd w:val="clear" w:color="auto" w:fill="auto"/>
            <w:vAlign w:val="center"/>
          </w:tcPr>
          <w:p w14:paraId="558383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792" w:type="dxa"/>
            <w:tcBorders>
              <w:top w:val="single" w:color="000000" w:sz="4" w:space="0"/>
              <w:left w:val="single" w:color="000000" w:sz="4" w:space="0"/>
              <w:right w:val="single" w:color="000000" w:sz="4" w:space="0"/>
            </w:tcBorders>
            <w:shd w:val="clear" w:color="auto" w:fill="auto"/>
            <w:vAlign w:val="center"/>
          </w:tcPr>
          <w:p w14:paraId="48DFA8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人均办案成本</w:t>
            </w:r>
          </w:p>
        </w:tc>
        <w:tc>
          <w:tcPr>
            <w:tcW w:w="571" w:type="dxa"/>
            <w:tcBorders>
              <w:top w:val="single" w:color="000000" w:sz="4" w:space="0"/>
              <w:left w:val="single" w:color="000000" w:sz="4" w:space="0"/>
              <w:right w:val="single" w:color="000000" w:sz="4" w:space="0"/>
            </w:tcBorders>
            <w:shd w:val="clear" w:color="auto" w:fill="auto"/>
            <w:vAlign w:val="center"/>
          </w:tcPr>
          <w:p w14:paraId="57E128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90" w:type="dxa"/>
            <w:tcBorders>
              <w:top w:val="single" w:color="000000" w:sz="4" w:space="0"/>
              <w:left w:val="single" w:color="000000" w:sz="4" w:space="0"/>
              <w:right w:val="single" w:color="000000" w:sz="4" w:space="0"/>
            </w:tcBorders>
            <w:shd w:val="clear" w:color="auto" w:fill="auto"/>
            <w:vAlign w:val="center"/>
          </w:tcPr>
          <w:p w14:paraId="24D8AE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89" w:type="dxa"/>
            <w:tcBorders>
              <w:top w:val="single" w:color="000000" w:sz="4" w:space="0"/>
              <w:left w:val="single" w:color="000000" w:sz="4" w:space="0"/>
              <w:right w:val="single" w:color="000000" w:sz="4" w:space="0"/>
            </w:tcBorders>
            <w:shd w:val="clear" w:color="auto" w:fill="auto"/>
            <w:vAlign w:val="center"/>
          </w:tcPr>
          <w:p w14:paraId="17CEB5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w:t>
            </w:r>
          </w:p>
        </w:tc>
        <w:tc>
          <w:tcPr>
            <w:tcW w:w="662" w:type="dxa"/>
            <w:tcBorders>
              <w:top w:val="single" w:color="000000" w:sz="4" w:space="0"/>
              <w:left w:val="single" w:color="000000" w:sz="4" w:space="0"/>
              <w:right w:val="single" w:color="000000" w:sz="4" w:space="0"/>
            </w:tcBorders>
            <w:shd w:val="clear" w:color="auto" w:fill="auto"/>
            <w:vAlign w:val="center"/>
          </w:tcPr>
          <w:p w14:paraId="423A91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5.58</w:t>
            </w:r>
          </w:p>
        </w:tc>
        <w:tc>
          <w:tcPr>
            <w:tcW w:w="627" w:type="dxa"/>
            <w:tcBorders>
              <w:top w:val="single" w:color="000000" w:sz="4" w:space="0"/>
              <w:left w:val="single" w:color="000000" w:sz="4" w:space="0"/>
              <w:right w:val="single" w:color="000000" w:sz="4" w:space="0"/>
            </w:tcBorders>
            <w:shd w:val="clear" w:color="auto" w:fill="auto"/>
            <w:vAlign w:val="center"/>
          </w:tcPr>
          <w:p w14:paraId="702F9D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w:t>
            </w:r>
          </w:p>
        </w:tc>
        <w:tc>
          <w:tcPr>
            <w:tcW w:w="591" w:type="dxa"/>
            <w:tcBorders>
              <w:top w:val="single" w:color="000000" w:sz="4" w:space="0"/>
              <w:left w:val="single" w:color="000000" w:sz="4" w:space="0"/>
              <w:right w:val="single" w:color="000000" w:sz="4" w:space="0"/>
            </w:tcBorders>
            <w:shd w:val="clear" w:color="auto" w:fill="auto"/>
            <w:vAlign w:val="center"/>
          </w:tcPr>
          <w:p w14:paraId="269907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4E7567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79532BDE">
            <w:pPr>
              <w:jc w:val="center"/>
              <w:rPr>
                <w:rFonts w:hint="eastAsia" w:ascii="宋体" w:hAnsi="宋体" w:eastAsia="宋体" w:cs="宋体"/>
                <w:i w:val="0"/>
                <w:color w:val="000000"/>
                <w:sz w:val="18"/>
                <w:szCs w:val="18"/>
                <w:u w:val="none"/>
              </w:rPr>
            </w:pPr>
          </w:p>
        </w:tc>
      </w:tr>
      <w:tr w14:paraId="18643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1302C0BA">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6FC9A71C">
            <w:pPr>
              <w:jc w:val="center"/>
              <w:rPr>
                <w:rFonts w:hint="eastAsia" w:ascii="宋体" w:hAnsi="宋体" w:eastAsia="宋体" w:cs="宋体"/>
                <w:i w:val="0"/>
                <w:color w:val="000000"/>
                <w:sz w:val="18"/>
                <w:szCs w:val="18"/>
                <w:u w:val="none"/>
              </w:rPr>
            </w:pPr>
          </w:p>
        </w:tc>
        <w:tc>
          <w:tcPr>
            <w:tcW w:w="692" w:type="dxa"/>
            <w:vMerge w:val="continue"/>
            <w:tcBorders>
              <w:top w:val="single" w:color="000000" w:sz="4" w:space="0"/>
              <w:left w:val="single" w:color="000000" w:sz="4" w:space="0"/>
              <w:right w:val="single" w:color="000000" w:sz="4" w:space="0"/>
            </w:tcBorders>
            <w:shd w:val="clear" w:color="auto" w:fill="auto"/>
            <w:vAlign w:val="center"/>
          </w:tcPr>
          <w:p w14:paraId="3BC92B59">
            <w:pPr>
              <w:jc w:val="center"/>
              <w:rPr>
                <w:rFonts w:hint="eastAsia" w:ascii="宋体" w:hAnsi="宋体" w:eastAsia="宋体" w:cs="宋体"/>
                <w:i w:val="0"/>
                <w:color w:val="000000"/>
                <w:sz w:val="18"/>
                <w:szCs w:val="18"/>
                <w:u w:val="none"/>
              </w:rPr>
            </w:pPr>
          </w:p>
        </w:tc>
        <w:tc>
          <w:tcPr>
            <w:tcW w:w="792" w:type="dxa"/>
            <w:tcBorders>
              <w:top w:val="single" w:color="000000" w:sz="4" w:space="0"/>
              <w:left w:val="single" w:color="000000" w:sz="4" w:space="0"/>
              <w:right w:val="single" w:color="000000" w:sz="4" w:space="0"/>
            </w:tcBorders>
            <w:shd w:val="clear" w:color="auto" w:fill="auto"/>
            <w:vAlign w:val="center"/>
          </w:tcPr>
          <w:p w14:paraId="2A2817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设备维修成本</w:t>
            </w:r>
          </w:p>
        </w:tc>
        <w:tc>
          <w:tcPr>
            <w:tcW w:w="571" w:type="dxa"/>
            <w:tcBorders>
              <w:top w:val="single" w:color="000000" w:sz="4" w:space="0"/>
              <w:left w:val="single" w:color="000000" w:sz="4" w:space="0"/>
              <w:right w:val="single" w:color="000000" w:sz="4" w:space="0"/>
            </w:tcBorders>
            <w:shd w:val="clear" w:color="auto" w:fill="auto"/>
            <w:vAlign w:val="center"/>
          </w:tcPr>
          <w:p w14:paraId="7AA546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90" w:type="dxa"/>
            <w:tcBorders>
              <w:top w:val="single" w:color="000000" w:sz="4" w:space="0"/>
              <w:left w:val="single" w:color="000000" w:sz="4" w:space="0"/>
              <w:right w:val="single" w:color="000000" w:sz="4" w:space="0"/>
            </w:tcBorders>
            <w:shd w:val="clear" w:color="auto" w:fill="auto"/>
            <w:vAlign w:val="center"/>
          </w:tcPr>
          <w:p w14:paraId="14E086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89" w:type="dxa"/>
            <w:tcBorders>
              <w:top w:val="single" w:color="000000" w:sz="4" w:space="0"/>
              <w:left w:val="single" w:color="000000" w:sz="4" w:space="0"/>
              <w:right w:val="single" w:color="000000" w:sz="4" w:space="0"/>
            </w:tcBorders>
            <w:shd w:val="clear" w:color="auto" w:fill="auto"/>
            <w:vAlign w:val="center"/>
          </w:tcPr>
          <w:p w14:paraId="1CCDFB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62" w:type="dxa"/>
            <w:tcBorders>
              <w:top w:val="single" w:color="000000" w:sz="4" w:space="0"/>
              <w:left w:val="single" w:color="000000" w:sz="4" w:space="0"/>
              <w:right w:val="single" w:color="000000" w:sz="4" w:space="0"/>
            </w:tcBorders>
            <w:shd w:val="clear" w:color="auto" w:fill="auto"/>
            <w:vAlign w:val="center"/>
          </w:tcPr>
          <w:p w14:paraId="100B44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27" w:type="dxa"/>
            <w:tcBorders>
              <w:top w:val="single" w:color="000000" w:sz="4" w:space="0"/>
              <w:left w:val="single" w:color="000000" w:sz="4" w:space="0"/>
              <w:right w:val="single" w:color="000000" w:sz="4" w:space="0"/>
            </w:tcBorders>
            <w:shd w:val="clear" w:color="auto" w:fill="auto"/>
            <w:vAlign w:val="center"/>
          </w:tcPr>
          <w:p w14:paraId="293703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w:t>
            </w:r>
          </w:p>
        </w:tc>
        <w:tc>
          <w:tcPr>
            <w:tcW w:w="591" w:type="dxa"/>
            <w:tcBorders>
              <w:top w:val="single" w:color="000000" w:sz="4" w:space="0"/>
              <w:left w:val="single" w:color="000000" w:sz="4" w:space="0"/>
              <w:right w:val="single" w:color="000000" w:sz="4" w:space="0"/>
            </w:tcBorders>
            <w:shd w:val="clear" w:color="auto" w:fill="auto"/>
            <w:vAlign w:val="center"/>
          </w:tcPr>
          <w:p w14:paraId="0819D3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61DC03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5E6F94E0">
            <w:pPr>
              <w:jc w:val="center"/>
              <w:rPr>
                <w:rFonts w:hint="eastAsia" w:ascii="宋体" w:hAnsi="宋体" w:eastAsia="宋体" w:cs="宋体"/>
                <w:i w:val="0"/>
                <w:color w:val="000000"/>
                <w:sz w:val="18"/>
                <w:szCs w:val="18"/>
                <w:u w:val="none"/>
              </w:rPr>
            </w:pPr>
          </w:p>
        </w:tc>
      </w:tr>
      <w:tr w14:paraId="7C1B7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0540BE6E">
            <w:pPr>
              <w:jc w:val="center"/>
              <w:rPr>
                <w:rFonts w:hint="eastAsia" w:ascii="宋体" w:hAnsi="宋体" w:eastAsia="宋体" w:cs="宋体"/>
                <w:i w:val="0"/>
                <w:color w:val="000000"/>
                <w:sz w:val="18"/>
                <w:szCs w:val="18"/>
                <w:u w:val="none"/>
              </w:rPr>
            </w:pPr>
          </w:p>
        </w:tc>
        <w:tc>
          <w:tcPr>
            <w:tcW w:w="651" w:type="dxa"/>
            <w:vMerge w:val="restart"/>
            <w:tcBorders>
              <w:top w:val="single" w:color="000000" w:sz="4" w:space="0"/>
              <w:left w:val="single" w:color="000000" w:sz="4" w:space="0"/>
              <w:right w:val="single" w:color="000000" w:sz="4" w:space="0"/>
            </w:tcBorders>
            <w:shd w:val="clear" w:color="auto" w:fill="auto"/>
            <w:vAlign w:val="center"/>
          </w:tcPr>
          <w:p w14:paraId="35F35F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92" w:type="dxa"/>
            <w:tcBorders>
              <w:top w:val="single" w:color="000000" w:sz="4" w:space="0"/>
              <w:left w:val="single" w:color="000000" w:sz="4" w:space="0"/>
              <w:right w:val="single" w:color="000000" w:sz="4" w:space="0"/>
            </w:tcBorders>
            <w:shd w:val="clear" w:color="auto" w:fill="auto"/>
            <w:vAlign w:val="center"/>
          </w:tcPr>
          <w:p w14:paraId="73D0D6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w:t>
            </w:r>
          </w:p>
        </w:tc>
        <w:tc>
          <w:tcPr>
            <w:tcW w:w="792" w:type="dxa"/>
            <w:tcBorders>
              <w:top w:val="single" w:color="000000" w:sz="4" w:space="0"/>
              <w:left w:val="single" w:color="000000" w:sz="4" w:space="0"/>
              <w:right w:val="single" w:color="000000" w:sz="4" w:space="0"/>
            </w:tcBorders>
            <w:shd w:val="clear" w:color="auto" w:fill="auto"/>
            <w:vAlign w:val="center"/>
          </w:tcPr>
          <w:p w14:paraId="461DC6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产生的经济效益</w:t>
            </w:r>
          </w:p>
        </w:tc>
        <w:tc>
          <w:tcPr>
            <w:tcW w:w="571" w:type="dxa"/>
            <w:tcBorders>
              <w:top w:val="single" w:color="000000" w:sz="4" w:space="0"/>
              <w:left w:val="single" w:color="000000" w:sz="4" w:space="0"/>
              <w:right w:val="single" w:color="000000" w:sz="4" w:space="0"/>
            </w:tcBorders>
            <w:shd w:val="clear" w:color="auto" w:fill="auto"/>
            <w:vAlign w:val="center"/>
          </w:tcPr>
          <w:p w14:paraId="6A8630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90" w:type="dxa"/>
            <w:tcBorders>
              <w:top w:val="single" w:color="000000" w:sz="4" w:space="0"/>
              <w:left w:val="single" w:color="000000" w:sz="4" w:space="0"/>
              <w:right w:val="single" w:color="000000" w:sz="4" w:space="0"/>
            </w:tcBorders>
            <w:shd w:val="clear" w:color="auto" w:fill="auto"/>
            <w:vAlign w:val="center"/>
          </w:tcPr>
          <w:p w14:paraId="2A069510">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right w:val="single" w:color="000000" w:sz="4" w:space="0"/>
            </w:tcBorders>
            <w:shd w:val="clear" w:color="auto" w:fill="auto"/>
            <w:vAlign w:val="center"/>
          </w:tcPr>
          <w:p w14:paraId="78BC78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优良中差</w:t>
            </w:r>
          </w:p>
        </w:tc>
        <w:tc>
          <w:tcPr>
            <w:tcW w:w="662" w:type="dxa"/>
            <w:tcBorders>
              <w:top w:val="single" w:color="000000" w:sz="4" w:space="0"/>
              <w:left w:val="single" w:color="000000" w:sz="4" w:space="0"/>
              <w:right w:val="single" w:color="000000" w:sz="4" w:space="0"/>
            </w:tcBorders>
            <w:shd w:val="clear" w:color="auto" w:fill="auto"/>
            <w:vAlign w:val="center"/>
          </w:tcPr>
          <w:p w14:paraId="2C53CE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627" w:type="dxa"/>
            <w:tcBorders>
              <w:top w:val="single" w:color="000000" w:sz="4" w:space="0"/>
              <w:left w:val="single" w:color="000000" w:sz="4" w:space="0"/>
              <w:right w:val="single" w:color="000000" w:sz="4" w:space="0"/>
            </w:tcBorders>
            <w:shd w:val="clear" w:color="auto" w:fill="auto"/>
            <w:vAlign w:val="center"/>
          </w:tcPr>
          <w:p w14:paraId="3622D5B1">
            <w:pPr>
              <w:jc w:val="center"/>
              <w:rPr>
                <w:rFonts w:hint="eastAsia" w:ascii="宋体" w:hAnsi="宋体" w:eastAsia="宋体" w:cs="宋体"/>
                <w:i w:val="0"/>
                <w:color w:val="000000"/>
                <w:sz w:val="18"/>
                <w:szCs w:val="18"/>
                <w:u w:val="none"/>
              </w:rPr>
            </w:pPr>
          </w:p>
        </w:tc>
        <w:tc>
          <w:tcPr>
            <w:tcW w:w="591" w:type="dxa"/>
            <w:tcBorders>
              <w:top w:val="single" w:color="000000" w:sz="4" w:space="0"/>
              <w:left w:val="single" w:color="000000" w:sz="4" w:space="0"/>
              <w:right w:val="single" w:color="000000" w:sz="4" w:space="0"/>
            </w:tcBorders>
            <w:shd w:val="clear" w:color="auto" w:fill="auto"/>
            <w:vAlign w:val="center"/>
          </w:tcPr>
          <w:p w14:paraId="1C8A60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92" w:type="dxa"/>
            <w:tcBorders>
              <w:top w:val="single" w:color="000000" w:sz="4" w:space="0"/>
              <w:left w:val="single" w:color="000000" w:sz="4" w:space="0"/>
              <w:right w:val="single" w:color="000000" w:sz="4" w:space="0"/>
            </w:tcBorders>
            <w:shd w:val="clear" w:color="auto" w:fill="auto"/>
            <w:vAlign w:val="center"/>
          </w:tcPr>
          <w:p w14:paraId="00787B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91" w:type="dxa"/>
            <w:tcBorders>
              <w:top w:val="single" w:color="000000" w:sz="4" w:space="0"/>
              <w:left w:val="single" w:color="000000" w:sz="4" w:space="0"/>
              <w:right w:val="single" w:color="000000" w:sz="4" w:space="0"/>
            </w:tcBorders>
            <w:shd w:val="clear" w:color="auto" w:fill="auto"/>
            <w:vAlign w:val="center"/>
          </w:tcPr>
          <w:p w14:paraId="0DE2FDD5">
            <w:pPr>
              <w:jc w:val="center"/>
              <w:rPr>
                <w:rFonts w:hint="eastAsia" w:ascii="宋体" w:hAnsi="宋体" w:eastAsia="宋体" w:cs="宋体"/>
                <w:i w:val="0"/>
                <w:color w:val="000000"/>
                <w:sz w:val="18"/>
                <w:szCs w:val="18"/>
                <w:u w:val="none"/>
              </w:rPr>
            </w:pPr>
          </w:p>
        </w:tc>
      </w:tr>
      <w:tr w14:paraId="44A84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14B4D7C0">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7038D7BD">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right w:val="single" w:color="000000" w:sz="4" w:space="0"/>
            </w:tcBorders>
            <w:shd w:val="clear" w:color="auto" w:fill="auto"/>
            <w:vAlign w:val="center"/>
          </w:tcPr>
          <w:p w14:paraId="19F569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w:t>
            </w:r>
          </w:p>
        </w:tc>
        <w:tc>
          <w:tcPr>
            <w:tcW w:w="792" w:type="dxa"/>
            <w:tcBorders>
              <w:top w:val="single" w:color="000000" w:sz="4" w:space="0"/>
              <w:left w:val="single" w:color="000000" w:sz="4" w:space="0"/>
              <w:right w:val="single" w:color="000000" w:sz="4" w:space="0"/>
            </w:tcBorders>
            <w:shd w:val="clear" w:color="auto" w:fill="auto"/>
            <w:vAlign w:val="center"/>
          </w:tcPr>
          <w:p w14:paraId="7F8318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办案效率</w:t>
            </w:r>
          </w:p>
        </w:tc>
        <w:tc>
          <w:tcPr>
            <w:tcW w:w="571" w:type="dxa"/>
            <w:tcBorders>
              <w:top w:val="single" w:color="000000" w:sz="4" w:space="0"/>
              <w:left w:val="single" w:color="000000" w:sz="4" w:space="0"/>
              <w:right w:val="single" w:color="000000" w:sz="4" w:space="0"/>
            </w:tcBorders>
            <w:shd w:val="clear" w:color="auto" w:fill="auto"/>
            <w:vAlign w:val="center"/>
          </w:tcPr>
          <w:p w14:paraId="5AED31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90" w:type="dxa"/>
            <w:tcBorders>
              <w:top w:val="single" w:color="000000" w:sz="4" w:space="0"/>
              <w:left w:val="single" w:color="000000" w:sz="4" w:space="0"/>
              <w:right w:val="single" w:color="000000" w:sz="4" w:space="0"/>
            </w:tcBorders>
            <w:shd w:val="clear" w:color="auto" w:fill="auto"/>
            <w:vAlign w:val="center"/>
          </w:tcPr>
          <w:p w14:paraId="71085DB6">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right w:val="single" w:color="000000" w:sz="4" w:space="0"/>
            </w:tcBorders>
            <w:shd w:val="clear" w:color="auto" w:fill="auto"/>
            <w:vAlign w:val="center"/>
          </w:tcPr>
          <w:p w14:paraId="014A52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662" w:type="dxa"/>
            <w:tcBorders>
              <w:top w:val="single" w:color="000000" w:sz="4" w:space="0"/>
              <w:left w:val="single" w:color="000000" w:sz="4" w:space="0"/>
              <w:right w:val="single" w:color="000000" w:sz="4" w:space="0"/>
            </w:tcBorders>
            <w:shd w:val="clear" w:color="auto" w:fill="auto"/>
            <w:vAlign w:val="center"/>
          </w:tcPr>
          <w:p w14:paraId="30646D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627" w:type="dxa"/>
            <w:tcBorders>
              <w:top w:val="single" w:color="000000" w:sz="4" w:space="0"/>
              <w:left w:val="single" w:color="000000" w:sz="4" w:space="0"/>
              <w:right w:val="single" w:color="000000" w:sz="4" w:space="0"/>
            </w:tcBorders>
            <w:shd w:val="clear" w:color="auto" w:fill="auto"/>
            <w:vAlign w:val="center"/>
          </w:tcPr>
          <w:p w14:paraId="31FB2ED3">
            <w:pPr>
              <w:jc w:val="center"/>
              <w:rPr>
                <w:rFonts w:hint="eastAsia" w:ascii="宋体" w:hAnsi="宋体" w:eastAsia="宋体" w:cs="宋体"/>
                <w:i w:val="0"/>
                <w:color w:val="000000"/>
                <w:sz w:val="18"/>
                <w:szCs w:val="18"/>
                <w:u w:val="none"/>
              </w:rPr>
            </w:pPr>
          </w:p>
        </w:tc>
        <w:tc>
          <w:tcPr>
            <w:tcW w:w="591" w:type="dxa"/>
            <w:tcBorders>
              <w:top w:val="single" w:color="000000" w:sz="4" w:space="0"/>
              <w:left w:val="single" w:color="000000" w:sz="4" w:space="0"/>
              <w:right w:val="single" w:color="000000" w:sz="4" w:space="0"/>
            </w:tcBorders>
            <w:shd w:val="clear" w:color="auto" w:fill="auto"/>
            <w:vAlign w:val="center"/>
          </w:tcPr>
          <w:p w14:paraId="1C99F9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92" w:type="dxa"/>
            <w:tcBorders>
              <w:top w:val="single" w:color="000000" w:sz="4" w:space="0"/>
              <w:left w:val="single" w:color="000000" w:sz="4" w:space="0"/>
              <w:right w:val="single" w:color="000000" w:sz="4" w:space="0"/>
            </w:tcBorders>
            <w:shd w:val="clear" w:color="auto" w:fill="auto"/>
            <w:vAlign w:val="center"/>
          </w:tcPr>
          <w:p w14:paraId="668225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91" w:type="dxa"/>
            <w:tcBorders>
              <w:top w:val="single" w:color="000000" w:sz="4" w:space="0"/>
              <w:left w:val="single" w:color="000000" w:sz="4" w:space="0"/>
              <w:right w:val="single" w:color="000000" w:sz="4" w:space="0"/>
            </w:tcBorders>
            <w:shd w:val="clear" w:color="auto" w:fill="auto"/>
            <w:vAlign w:val="center"/>
          </w:tcPr>
          <w:p w14:paraId="4E6468AD">
            <w:pPr>
              <w:jc w:val="center"/>
              <w:rPr>
                <w:rFonts w:hint="eastAsia" w:ascii="宋体" w:hAnsi="宋体" w:eastAsia="宋体" w:cs="宋体"/>
                <w:i w:val="0"/>
                <w:color w:val="000000"/>
                <w:sz w:val="18"/>
                <w:szCs w:val="18"/>
                <w:u w:val="none"/>
              </w:rPr>
            </w:pPr>
          </w:p>
        </w:tc>
      </w:tr>
      <w:tr w14:paraId="4EDE3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3D89E227">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517266BD">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right w:val="single" w:color="000000" w:sz="4" w:space="0"/>
            </w:tcBorders>
            <w:shd w:val="clear" w:color="auto" w:fill="auto"/>
            <w:vAlign w:val="center"/>
          </w:tcPr>
          <w:p w14:paraId="435918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w:t>
            </w:r>
          </w:p>
        </w:tc>
        <w:tc>
          <w:tcPr>
            <w:tcW w:w="792" w:type="dxa"/>
            <w:tcBorders>
              <w:top w:val="single" w:color="000000" w:sz="4" w:space="0"/>
              <w:left w:val="single" w:color="000000" w:sz="4" w:space="0"/>
              <w:right w:val="single" w:color="000000" w:sz="4" w:space="0"/>
            </w:tcBorders>
            <w:shd w:val="clear" w:color="auto" w:fill="auto"/>
            <w:vAlign w:val="center"/>
          </w:tcPr>
          <w:p w14:paraId="4F2243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产生的生态效益</w:t>
            </w:r>
          </w:p>
        </w:tc>
        <w:tc>
          <w:tcPr>
            <w:tcW w:w="571" w:type="dxa"/>
            <w:tcBorders>
              <w:top w:val="single" w:color="000000" w:sz="4" w:space="0"/>
              <w:left w:val="single" w:color="000000" w:sz="4" w:space="0"/>
              <w:right w:val="single" w:color="000000" w:sz="4" w:space="0"/>
            </w:tcBorders>
            <w:shd w:val="clear" w:color="auto" w:fill="auto"/>
            <w:vAlign w:val="center"/>
          </w:tcPr>
          <w:p w14:paraId="1051B3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90" w:type="dxa"/>
            <w:tcBorders>
              <w:top w:val="single" w:color="000000" w:sz="4" w:space="0"/>
              <w:left w:val="single" w:color="000000" w:sz="4" w:space="0"/>
              <w:right w:val="single" w:color="000000" w:sz="4" w:space="0"/>
            </w:tcBorders>
            <w:shd w:val="clear" w:color="auto" w:fill="auto"/>
            <w:vAlign w:val="center"/>
          </w:tcPr>
          <w:p w14:paraId="512643C6">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right w:val="single" w:color="000000" w:sz="4" w:space="0"/>
            </w:tcBorders>
            <w:shd w:val="clear" w:color="auto" w:fill="auto"/>
            <w:vAlign w:val="center"/>
          </w:tcPr>
          <w:p w14:paraId="6F2B26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优良中差</w:t>
            </w:r>
          </w:p>
        </w:tc>
        <w:tc>
          <w:tcPr>
            <w:tcW w:w="662" w:type="dxa"/>
            <w:tcBorders>
              <w:top w:val="single" w:color="000000" w:sz="4" w:space="0"/>
              <w:left w:val="single" w:color="000000" w:sz="4" w:space="0"/>
              <w:right w:val="single" w:color="000000" w:sz="4" w:space="0"/>
            </w:tcBorders>
            <w:shd w:val="clear" w:color="auto" w:fill="auto"/>
            <w:vAlign w:val="center"/>
          </w:tcPr>
          <w:p w14:paraId="5B6AF5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627" w:type="dxa"/>
            <w:tcBorders>
              <w:top w:val="single" w:color="000000" w:sz="4" w:space="0"/>
              <w:left w:val="single" w:color="000000" w:sz="4" w:space="0"/>
              <w:right w:val="single" w:color="000000" w:sz="4" w:space="0"/>
            </w:tcBorders>
            <w:shd w:val="clear" w:color="auto" w:fill="auto"/>
            <w:vAlign w:val="center"/>
          </w:tcPr>
          <w:p w14:paraId="5A3FFFEE">
            <w:pPr>
              <w:jc w:val="center"/>
              <w:rPr>
                <w:rFonts w:hint="eastAsia" w:ascii="宋体" w:hAnsi="宋体" w:eastAsia="宋体" w:cs="宋体"/>
                <w:i w:val="0"/>
                <w:color w:val="000000"/>
                <w:sz w:val="18"/>
                <w:szCs w:val="18"/>
                <w:u w:val="none"/>
              </w:rPr>
            </w:pPr>
          </w:p>
        </w:tc>
        <w:tc>
          <w:tcPr>
            <w:tcW w:w="591" w:type="dxa"/>
            <w:tcBorders>
              <w:top w:val="single" w:color="000000" w:sz="4" w:space="0"/>
              <w:left w:val="single" w:color="000000" w:sz="4" w:space="0"/>
              <w:right w:val="single" w:color="000000" w:sz="4" w:space="0"/>
            </w:tcBorders>
            <w:shd w:val="clear" w:color="auto" w:fill="auto"/>
            <w:vAlign w:val="center"/>
          </w:tcPr>
          <w:p w14:paraId="2261E5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55AFB7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5001C9CE">
            <w:pPr>
              <w:jc w:val="center"/>
              <w:rPr>
                <w:rFonts w:hint="eastAsia" w:ascii="宋体" w:hAnsi="宋体" w:eastAsia="宋体" w:cs="宋体"/>
                <w:i w:val="0"/>
                <w:color w:val="000000"/>
                <w:sz w:val="18"/>
                <w:szCs w:val="18"/>
                <w:u w:val="none"/>
              </w:rPr>
            </w:pPr>
          </w:p>
        </w:tc>
      </w:tr>
      <w:tr w14:paraId="4F486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2629A55D">
            <w:pPr>
              <w:jc w:val="center"/>
              <w:rPr>
                <w:rFonts w:hint="eastAsia" w:ascii="宋体" w:hAnsi="宋体" w:eastAsia="宋体" w:cs="宋体"/>
                <w:i w:val="0"/>
                <w:color w:val="000000"/>
                <w:sz w:val="18"/>
                <w:szCs w:val="18"/>
                <w:u w:val="none"/>
              </w:rPr>
            </w:pPr>
          </w:p>
        </w:tc>
        <w:tc>
          <w:tcPr>
            <w:tcW w:w="651" w:type="dxa"/>
            <w:vMerge w:val="continue"/>
            <w:tcBorders>
              <w:top w:val="single" w:color="000000" w:sz="4" w:space="0"/>
              <w:left w:val="single" w:color="000000" w:sz="4" w:space="0"/>
              <w:right w:val="single" w:color="000000" w:sz="4" w:space="0"/>
            </w:tcBorders>
            <w:shd w:val="clear" w:color="auto" w:fill="auto"/>
            <w:vAlign w:val="center"/>
          </w:tcPr>
          <w:p w14:paraId="3964EC68">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right w:val="single" w:color="000000" w:sz="4" w:space="0"/>
            </w:tcBorders>
            <w:shd w:val="clear" w:color="auto" w:fill="auto"/>
            <w:vAlign w:val="center"/>
          </w:tcPr>
          <w:p w14:paraId="132065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w:t>
            </w:r>
          </w:p>
        </w:tc>
        <w:tc>
          <w:tcPr>
            <w:tcW w:w="792" w:type="dxa"/>
            <w:tcBorders>
              <w:top w:val="single" w:color="000000" w:sz="4" w:space="0"/>
              <w:left w:val="single" w:color="000000" w:sz="4" w:space="0"/>
              <w:right w:val="single" w:color="000000" w:sz="4" w:space="0"/>
            </w:tcBorders>
            <w:shd w:val="clear" w:color="auto" w:fill="auto"/>
            <w:vAlign w:val="center"/>
          </w:tcPr>
          <w:p w14:paraId="640866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加强社会主义法制建设</w:t>
            </w:r>
          </w:p>
        </w:tc>
        <w:tc>
          <w:tcPr>
            <w:tcW w:w="571" w:type="dxa"/>
            <w:tcBorders>
              <w:top w:val="single" w:color="000000" w:sz="4" w:space="0"/>
              <w:left w:val="single" w:color="000000" w:sz="4" w:space="0"/>
              <w:right w:val="single" w:color="000000" w:sz="4" w:space="0"/>
            </w:tcBorders>
            <w:shd w:val="clear" w:color="auto" w:fill="auto"/>
            <w:vAlign w:val="center"/>
          </w:tcPr>
          <w:p w14:paraId="28B146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690" w:type="dxa"/>
            <w:tcBorders>
              <w:top w:val="single" w:color="000000" w:sz="4" w:space="0"/>
              <w:left w:val="single" w:color="000000" w:sz="4" w:space="0"/>
              <w:right w:val="single" w:color="000000" w:sz="4" w:space="0"/>
            </w:tcBorders>
            <w:shd w:val="clear" w:color="auto" w:fill="auto"/>
            <w:vAlign w:val="center"/>
          </w:tcPr>
          <w:p w14:paraId="1A0A4551">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right w:val="single" w:color="000000" w:sz="4" w:space="0"/>
            </w:tcBorders>
            <w:shd w:val="clear" w:color="auto" w:fill="auto"/>
            <w:vAlign w:val="center"/>
          </w:tcPr>
          <w:p w14:paraId="4F02CF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长期</w:t>
            </w:r>
          </w:p>
        </w:tc>
        <w:tc>
          <w:tcPr>
            <w:tcW w:w="662" w:type="dxa"/>
            <w:tcBorders>
              <w:top w:val="single" w:color="000000" w:sz="4" w:space="0"/>
              <w:left w:val="single" w:color="000000" w:sz="4" w:space="0"/>
              <w:right w:val="single" w:color="000000" w:sz="4" w:space="0"/>
            </w:tcBorders>
            <w:shd w:val="clear" w:color="auto" w:fill="auto"/>
            <w:vAlign w:val="center"/>
          </w:tcPr>
          <w:p w14:paraId="57A418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长期</w:t>
            </w:r>
          </w:p>
        </w:tc>
        <w:tc>
          <w:tcPr>
            <w:tcW w:w="627" w:type="dxa"/>
            <w:tcBorders>
              <w:top w:val="single" w:color="000000" w:sz="4" w:space="0"/>
              <w:left w:val="single" w:color="000000" w:sz="4" w:space="0"/>
              <w:right w:val="single" w:color="000000" w:sz="4" w:space="0"/>
            </w:tcBorders>
            <w:shd w:val="clear" w:color="auto" w:fill="auto"/>
            <w:vAlign w:val="center"/>
          </w:tcPr>
          <w:p w14:paraId="66FEB323">
            <w:pPr>
              <w:jc w:val="center"/>
              <w:rPr>
                <w:rFonts w:hint="eastAsia" w:ascii="宋体" w:hAnsi="宋体" w:eastAsia="宋体" w:cs="宋体"/>
                <w:i w:val="0"/>
                <w:color w:val="000000"/>
                <w:sz w:val="18"/>
                <w:szCs w:val="18"/>
                <w:u w:val="none"/>
              </w:rPr>
            </w:pPr>
          </w:p>
        </w:tc>
        <w:tc>
          <w:tcPr>
            <w:tcW w:w="591" w:type="dxa"/>
            <w:tcBorders>
              <w:top w:val="single" w:color="000000" w:sz="4" w:space="0"/>
              <w:left w:val="single" w:color="000000" w:sz="4" w:space="0"/>
              <w:right w:val="single" w:color="000000" w:sz="4" w:space="0"/>
            </w:tcBorders>
            <w:shd w:val="clear" w:color="auto" w:fill="auto"/>
            <w:vAlign w:val="center"/>
          </w:tcPr>
          <w:p w14:paraId="685E5B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92" w:type="dxa"/>
            <w:tcBorders>
              <w:top w:val="single" w:color="000000" w:sz="4" w:space="0"/>
              <w:left w:val="single" w:color="000000" w:sz="4" w:space="0"/>
              <w:right w:val="single" w:color="000000" w:sz="4" w:space="0"/>
            </w:tcBorders>
            <w:shd w:val="clear" w:color="auto" w:fill="auto"/>
            <w:vAlign w:val="center"/>
          </w:tcPr>
          <w:p w14:paraId="3DF6D1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91" w:type="dxa"/>
            <w:tcBorders>
              <w:top w:val="single" w:color="000000" w:sz="4" w:space="0"/>
              <w:left w:val="single" w:color="000000" w:sz="4" w:space="0"/>
              <w:right w:val="single" w:color="000000" w:sz="4" w:space="0"/>
            </w:tcBorders>
            <w:shd w:val="clear" w:color="auto" w:fill="auto"/>
            <w:vAlign w:val="center"/>
          </w:tcPr>
          <w:p w14:paraId="32F12830">
            <w:pPr>
              <w:jc w:val="center"/>
              <w:rPr>
                <w:rFonts w:hint="eastAsia" w:ascii="宋体" w:hAnsi="宋体" w:eastAsia="宋体" w:cs="宋体"/>
                <w:i w:val="0"/>
                <w:color w:val="000000"/>
                <w:sz w:val="18"/>
                <w:szCs w:val="18"/>
                <w:u w:val="none"/>
              </w:rPr>
            </w:pPr>
          </w:p>
        </w:tc>
      </w:tr>
      <w:tr w14:paraId="48DC4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60" w:type="dxa"/>
            <w:vMerge w:val="continue"/>
            <w:tcBorders>
              <w:top w:val="single" w:color="000000" w:sz="4" w:space="0"/>
              <w:left w:val="single" w:color="000000" w:sz="4" w:space="0"/>
              <w:right w:val="single" w:color="000000" w:sz="4" w:space="0"/>
            </w:tcBorders>
            <w:shd w:val="clear" w:color="auto" w:fill="auto"/>
            <w:vAlign w:val="center"/>
          </w:tcPr>
          <w:p w14:paraId="3A192DDA">
            <w:pPr>
              <w:jc w:val="center"/>
              <w:rPr>
                <w:rFonts w:hint="eastAsia" w:ascii="宋体" w:hAnsi="宋体" w:eastAsia="宋体" w:cs="宋体"/>
                <w:i w:val="0"/>
                <w:color w:val="000000"/>
                <w:sz w:val="18"/>
                <w:szCs w:val="18"/>
                <w:u w:val="none"/>
              </w:rPr>
            </w:pPr>
          </w:p>
        </w:tc>
        <w:tc>
          <w:tcPr>
            <w:tcW w:w="651" w:type="dxa"/>
            <w:tcBorders>
              <w:top w:val="single" w:color="000000" w:sz="4" w:space="0"/>
              <w:left w:val="single" w:color="000000" w:sz="4" w:space="0"/>
              <w:right w:val="single" w:color="000000" w:sz="4" w:space="0"/>
            </w:tcBorders>
            <w:shd w:val="clear" w:color="auto" w:fill="auto"/>
            <w:vAlign w:val="center"/>
          </w:tcPr>
          <w:p w14:paraId="251EFD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92" w:type="dxa"/>
            <w:tcBorders>
              <w:top w:val="single" w:color="000000" w:sz="4" w:space="0"/>
              <w:left w:val="single" w:color="000000" w:sz="4" w:space="0"/>
              <w:right w:val="single" w:color="000000" w:sz="4" w:space="0"/>
            </w:tcBorders>
            <w:shd w:val="clear" w:color="auto" w:fill="auto"/>
            <w:vAlign w:val="center"/>
          </w:tcPr>
          <w:p w14:paraId="746BDA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792" w:type="dxa"/>
            <w:tcBorders>
              <w:top w:val="single" w:color="000000" w:sz="4" w:space="0"/>
              <w:left w:val="single" w:color="000000" w:sz="4" w:space="0"/>
              <w:right w:val="single" w:color="000000" w:sz="4" w:space="0"/>
            </w:tcBorders>
            <w:shd w:val="clear" w:color="auto" w:fill="auto"/>
            <w:vAlign w:val="center"/>
          </w:tcPr>
          <w:p w14:paraId="616701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对于办案人员规范诉讼</w:t>
            </w:r>
          </w:p>
        </w:tc>
        <w:tc>
          <w:tcPr>
            <w:tcW w:w="571" w:type="dxa"/>
            <w:tcBorders>
              <w:top w:val="single" w:color="000000" w:sz="4" w:space="0"/>
              <w:left w:val="single" w:color="000000" w:sz="4" w:space="0"/>
              <w:right w:val="single" w:color="000000" w:sz="4" w:space="0"/>
            </w:tcBorders>
            <w:shd w:val="clear" w:color="auto" w:fill="auto"/>
            <w:vAlign w:val="center"/>
          </w:tcPr>
          <w:p w14:paraId="29A3A3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690" w:type="dxa"/>
            <w:tcBorders>
              <w:top w:val="single" w:color="000000" w:sz="4" w:space="0"/>
              <w:left w:val="single" w:color="000000" w:sz="4" w:space="0"/>
              <w:right w:val="single" w:color="000000" w:sz="4" w:space="0"/>
            </w:tcBorders>
            <w:shd w:val="clear" w:color="auto" w:fill="auto"/>
            <w:vAlign w:val="center"/>
          </w:tcPr>
          <w:p w14:paraId="618CAF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689" w:type="dxa"/>
            <w:tcBorders>
              <w:top w:val="single" w:color="000000" w:sz="4" w:space="0"/>
              <w:left w:val="single" w:color="000000" w:sz="4" w:space="0"/>
              <w:right w:val="single" w:color="000000" w:sz="4" w:space="0"/>
            </w:tcBorders>
            <w:shd w:val="clear" w:color="auto" w:fill="auto"/>
            <w:vAlign w:val="center"/>
          </w:tcPr>
          <w:p w14:paraId="03A0B8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62" w:type="dxa"/>
            <w:tcBorders>
              <w:top w:val="single" w:color="000000" w:sz="4" w:space="0"/>
              <w:left w:val="single" w:color="000000" w:sz="4" w:space="0"/>
              <w:right w:val="single" w:color="000000" w:sz="4" w:space="0"/>
            </w:tcBorders>
            <w:shd w:val="clear" w:color="auto" w:fill="auto"/>
            <w:vAlign w:val="center"/>
          </w:tcPr>
          <w:p w14:paraId="326153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27" w:type="dxa"/>
            <w:tcBorders>
              <w:top w:val="single" w:color="000000" w:sz="4" w:space="0"/>
              <w:left w:val="single" w:color="000000" w:sz="4" w:space="0"/>
              <w:right w:val="single" w:color="000000" w:sz="4" w:space="0"/>
            </w:tcBorders>
            <w:shd w:val="clear" w:color="auto" w:fill="auto"/>
            <w:vAlign w:val="center"/>
          </w:tcPr>
          <w:p w14:paraId="26A452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91" w:type="dxa"/>
            <w:tcBorders>
              <w:top w:val="single" w:color="000000" w:sz="4" w:space="0"/>
              <w:left w:val="single" w:color="000000" w:sz="4" w:space="0"/>
              <w:right w:val="single" w:color="000000" w:sz="4" w:space="0"/>
            </w:tcBorders>
            <w:shd w:val="clear" w:color="auto" w:fill="auto"/>
            <w:vAlign w:val="center"/>
          </w:tcPr>
          <w:p w14:paraId="741017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92" w:type="dxa"/>
            <w:tcBorders>
              <w:top w:val="single" w:color="000000" w:sz="4" w:space="0"/>
              <w:left w:val="single" w:color="000000" w:sz="4" w:space="0"/>
              <w:right w:val="single" w:color="000000" w:sz="4" w:space="0"/>
            </w:tcBorders>
            <w:shd w:val="clear" w:color="auto" w:fill="auto"/>
            <w:vAlign w:val="center"/>
          </w:tcPr>
          <w:p w14:paraId="4A5479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91" w:type="dxa"/>
            <w:tcBorders>
              <w:top w:val="single" w:color="000000" w:sz="4" w:space="0"/>
              <w:left w:val="single" w:color="000000" w:sz="4" w:space="0"/>
              <w:right w:val="single" w:color="000000" w:sz="4" w:space="0"/>
            </w:tcBorders>
            <w:shd w:val="clear" w:color="auto" w:fill="auto"/>
            <w:vAlign w:val="center"/>
          </w:tcPr>
          <w:p w14:paraId="0F9804DB">
            <w:pPr>
              <w:jc w:val="center"/>
              <w:rPr>
                <w:rFonts w:hint="eastAsia" w:ascii="宋体" w:hAnsi="宋体" w:eastAsia="宋体" w:cs="宋体"/>
                <w:i w:val="0"/>
                <w:color w:val="000000"/>
                <w:sz w:val="18"/>
                <w:szCs w:val="18"/>
                <w:u w:val="none"/>
              </w:rPr>
            </w:pPr>
          </w:p>
        </w:tc>
      </w:tr>
      <w:tr w14:paraId="176C0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593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302DD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7C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9D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4E2D">
            <w:pPr>
              <w:jc w:val="center"/>
              <w:rPr>
                <w:rFonts w:hint="eastAsia" w:ascii="宋体" w:hAnsi="宋体" w:eastAsia="宋体" w:cs="宋体"/>
                <w:i w:val="0"/>
                <w:color w:val="000000"/>
                <w:sz w:val="18"/>
                <w:szCs w:val="18"/>
                <w:u w:val="none"/>
              </w:rPr>
            </w:pPr>
          </w:p>
        </w:tc>
      </w:tr>
    </w:tbl>
    <w:p w14:paraId="5557A563">
      <w:pPr>
        <w:pStyle w:val="30"/>
        <w:keepNext w:val="0"/>
        <w:keepLines w:val="0"/>
        <w:pageBreakBefore w:val="0"/>
        <w:widowControl/>
        <w:kinsoku/>
        <w:wordWrap/>
        <w:overflowPunct/>
        <w:topLinePunct w:val="0"/>
        <w:autoSpaceDE/>
        <w:autoSpaceDN/>
        <w:bidi w:val="0"/>
        <w:spacing w:line="576" w:lineRule="exact"/>
        <w:ind w:right="0" w:rightChars="0"/>
        <w:jc w:val="left"/>
        <w:textAlignment w:val="auto"/>
        <w:rPr>
          <w:rFonts w:ascii="FangSong_GB2312" w:hAnsi="FangSong_GB2312" w:eastAsia="FangSong_GB2312" w:cs="FangSong_GB2312"/>
          <w:color w:val="000AFF"/>
          <w:kern w:val="0"/>
          <w:sz w:val="32"/>
          <w:szCs w:val="32"/>
        </w:rPr>
      </w:pPr>
    </w:p>
    <w:tbl>
      <w:tblPr>
        <w:tblStyle w:val="20"/>
        <w:tblW w:w="82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71"/>
        <w:gridCol w:w="870"/>
        <w:gridCol w:w="525"/>
        <w:gridCol w:w="830"/>
        <w:gridCol w:w="515"/>
        <w:gridCol w:w="515"/>
        <w:gridCol w:w="525"/>
        <w:gridCol w:w="532"/>
        <w:gridCol w:w="883"/>
        <w:gridCol w:w="519"/>
        <w:gridCol w:w="855"/>
        <w:gridCol w:w="778"/>
      </w:tblGrid>
      <w:tr w14:paraId="13772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60" w:hRule="atLeast"/>
        </w:trPr>
        <w:tc>
          <w:tcPr>
            <w:tcW w:w="821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736E31E">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(2025年度）</w:t>
            </w:r>
          </w:p>
        </w:tc>
      </w:tr>
      <w:tr w14:paraId="4DE3B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7CA7C">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647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46864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业务装备经费</w:t>
            </w:r>
          </w:p>
        </w:tc>
      </w:tr>
      <w:tr w14:paraId="3025A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E30E9">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23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0C291D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呼伦贝尔市扎赉诺尔区人民检察院部门</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60287">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0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8B31D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呼伦贝尔市扎赉诺尔区人民检察院</w:t>
            </w:r>
          </w:p>
        </w:tc>
      </w:tr>
      <w:tr w14:paraId="162DB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874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0C4B">
            <w:pPr>
              <w:rPr>
                <w:rFonts w:hint="eastAsia" w:ascii="宋体" w:hAnsi="宋体" w:eastAsia="宋体" w:cs="宋体"/>
                <w:i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AE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4DF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C1F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410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8F9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F9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38801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E38C9">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87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D508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38.18</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9F1D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47.58</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8BE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47.39</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F9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C5F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AD9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9.96</w:t>
            </w:r>
          </w:p>
        </w:tc>
      </w:tr>
      <w:tr w14:paraId="0EC29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17C1A">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4FD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80B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38.18</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D07C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47.58</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A6E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47.39</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D096A">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FA9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99.6</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21C4">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178B3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BB975">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FB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EEAC">
            <w:pPr>
              <w:rPr>
                <w:rFonts w:hint="eastAsia" w:ascii="宋体" w:hAnsi="宋体" w:eastAsia="宋体" w:cs="宋体"/>
                <w:i w:val="0"/>
                <w:color w:val="000000"/>
                <w:sz w:val="18"/>
                <w:szCs w:val="18"/>
                <w:u w:val="none"/>
              </w:rPr>
            </w:pP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2A1E7">
            <w:pPr>
              <w:jc w:val="center"/>
              <w:rPr>
                <w:rFonts w:hint="eastAsia" w:ascii="宋体" w:hAnsi="宋体" w:eastAsia="宋体" w:cs="宋体"/>
                <w:i w:val="0"/>
                <w:color w:val="000000"/>
                <w:sz w:val="18"/>
                <w:szCs w:val="18"/>
                <w:u w:val="none"/>
              </w:rPr>
            </w:pP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5E2502">
            <w:pPr>
              <w:jc w:val="center"/>
              <w:rPr>
                <w:rFonts w:hint="eastAsia" w:ascii="宋体" w:hAnsi="宋体" w:eastAsia="宋体" w:cs="宋体"/>
                <w:i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689B">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558C6">
            <w:pPr>
              <w:jc w:val="center"/>
              <w:rPr>
                <w:rFonts w:hint="eastAsia" w:ascii="宋体" w:hAnsi="宋体" w:eastAsia="宋体" w:cs="宋体"/>
                <w:i w:val="0"/>
                <w:color w:val="000000"/>
                <w:sz w:val="18"/>
                <w:szCs w:val="18"/>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6BCA">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17BB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CA455">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1FB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180A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75D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F32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71A7">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A3B3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A3259">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22722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669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9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EB7E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7675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2E2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20" w:hRule="atLeast"/>
        </w:trPr>
        <w:tc>
          <w:tcPr>
            <w:tcW w:w="17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9E676">
            <w:pPr>
              <w:jc w:val="center"/>
              <w:rPr>
                <w:rFonts w:hint="eastAsia" w:ascii="宋体" w:hAnsi="宋体" w:eastAsia="宋体" w:cs="宋体"/>
                <w:i w:val="0"/>
                <w:color w:val="000000"/>
                <w:sz w:val="18"/>
                <w:szCs w:val="18"/>
                <w:u w:val="none"/>
              </w:rPr>
            </w:pPr>
          </w:p>
        </w:tc>
        <w:tc>
          <w:tcPr>
            <w:tcW w:w="29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F17F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通过采购办案设备，提升检察业务现代化水平， 保障刑事检察工作顺利开展；保障检察工作顺利进行；配合推进检察机关司法责任制改革和机构改革；突出保障”四大检察“业务开展；确保服务对象满意。</w:t>
            </w:r>
          </w:p>
        </w:tc>
        <w:tc>
          <w:tcPr>
            <w:tcW w:w="35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8C39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业务装备费项目预算执行率99.6%,购置、升级装备均按期完成，验收合格率100%。装备投入后显著提升办案效率，一线满意度95%以上，绩效总体目标圆满完成，综合评价为优。</w:t>
            </w:r>
          </w:p>
        </w:tc>
      </w:tr>
      <w:tr w14:paraId="48A66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920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7D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0E2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47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05B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CB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80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5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FFC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59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4C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B2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C78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7A973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restart"/>
            <w:tcBorders>
              <w:top w:val="single" w:color="000000" w:sz="4" w:space="0"/>
              <w:left w:val="single" w:color="000000" w:sz="4" w:space="0"/>
              <w:right w:val="single" w:color="000000" w:sz="4" w:space="0"/>
            </w:tcBorders>
            <w:shd w:val="clear" w:color="auto" w:fill="auto"/>
            <w:vAlign w:val="center"/>
          </w:tcPr>
          <w:p w14:paraId="42E75B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870" w:type="dxa"/>
            <w:vMerge w:val="restart"/>
            <w:tcBorders>
              <w:top w:val="single" w:color="000000" w:sz="4" w:space="0"/>
              <w:left w:val="single" w:color="000000" w:sz="4" w:space="0"/>
              <w:right w:val="single" w:color="000000" w:sz="4" w:space="0"/>
            </w:tcBorders>
            <w:shd w:val="clear" w:color="auto" w:fill="auto"/>
            <w:vAlign w:val="center"/>
          </w:tcPr>
          <w:p w14:paraId="1D02EF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25" w:type="dxa"/>
            <w:vMerge w:val="restart"/>
            <w:tcBorders>
              <w:top w:val="single" w:color="000000" w:sz="4" w:space="0"/>
              <w:left w:val="single" w:color="000000" w:sz="4" w:space="0"/>
              <w:right w:val="single" w:color="000000" w:sz="4" w:space="0"/>
            </w:tcBorders>
            <w:shd w:val="clear" w:color="auto" w:fill="auto"/>
            <w:vAlign w:val="center"/>
          </w:tcPr>
          <w:p w14:paraId="1A908C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830" w:type="dxa"/>
            <w:tcBorders>
              <w:top w:val="single" w:color="000000" w:sz="4" w:space="0"/>
              <w:left w:val="single" w:color="000000" w:sz="4" w:space="0"/>
              <w:right w:val="single" w:color="000000" w:sz="4" w:space="0"/>
            </w:tcBorders>
            <w:shd w:val="clear" w:color="auto" w:fill="auto"/>
            <w:vAlign w:val="center"/>
          </w:tcPr>
          <w:p w14:paraId="7C463A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采购扫描仪数量</w:t>
            </w:r>
          </w:p>
        </w:tc>
        <w:tc>
          <w:tcPr>
            <w:tcW w:w="515" w:type="dxa"/>
            <w:tcBorders>
              <w:top w:val="single" w:color="000000" w:sz="4" w:space="0"/>
              <w:left w:val="single" w:color="000000" w:sz="4" w:space="0"/>
              <w:right w:val="single" w:color="000000" w:sz="4" w:space="0"/>
            </w:tcBorders>
            <w:shd w:val="clear" w:color="auto" w:fill="auto"/>
            <w:vAlign w:val="center"/>
          </w:tcPr>
          <w:p w14:paraId="34D0A1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515" w:type="dxa"/>
            <w:tcBorders>
              <w:top w:val="single" w:color="000000" w:sz="4" w:space="0"/>
              <w:left w:val="single" w:color="000000" w:sz="4" w:space="0"/>
              <w:right w:val="single" w:color="000000" w:sz="4" w:space="0"/>
            </w:tcBorders>
            <w:shd w:val="clear" w:color="auto" w:fill="auto"/>
            <w:vAlign w:val="center"/>
          </w:tcPr>
          <w:p w14:paraId="754AA6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525" w:type="dxa"/>
            <w:tcBorders>
              <w:top w:val="single" w:color="000000" w:sz="4" w:space="0"/>
              <w:left w:val="single" w:color="000000" w:sz="4" w:space="0"/>
              <w:right w:val="single" w:color="000000" w:sz="4" w:space="0"/>
            </w:tcBorders>
            <w:shd w:val="clear" w:color="auto" w:fill="auto"/>
            <w:vAlign w:val="center"/>
          </w:tcPr>
          <w:p w14:paraId="530F34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532" w:type="dxa"/>
            <w:tcBorders>
              <w:top w:val="single" w:color="000000" w:sz="4" w:space="0"/>
              <w:left w:val="single" w:color="000000" w:sz="4" w:space="0"/>
              <w:right w:val="single" w:color="000000" w:sz="4" w:space="0"/>
            </w:tcBorders>
            <w:shd w:val="clear" w:color="auto" w:fill="auto"/>
            <w:vAlign w:val="center"/>
          </w:tcPr>
          <w:p w14:paraId="666975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883" w:type="dxa"/>
            <w:tcBorders>
              <w:top w:val="single" w:color="000000" w:sz="4" w:space="0"/>
              <w:left w:val="single" w:color="000000" w:sz="4" w:space="0"/>
              <w:right w:val="single" w:color="000000" w:sz="4" w:space="0"/>
            </w:tcBorders>
            <w:shd w:val="clear" w:color="auto" w:fill="auto"/>
            <w:vAlign w:val="center"/>
          </w:tcPr>
          <w:p w14:paraId="122E0F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519" w:type="dxa"/>
            <w:tcBorders>
              <w:top w:val="single" w:color="000000" w:sz="4" w:space="0"/>
              <w:left w:val="single" w:color="000000" w:sz="4" w:space="0"/>
              <w:right w:val="single" w:color="000000" w:sz="4" w:space="0"/>
            </w:tcBorders>
            <w:shd w:val="clear" w:color="auto" w:fill="auto"/>
            <w:vAlign w:val="center"/>
          </w:tcPr>
          <w:p w14:paraId="020100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70167B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4.62</w:t>
            </w:r>
          </w:p>
        </w:tc>
        <w:tc>
          <w:tcPr>
            <w:tcW w:w="778" w:type="dxa"/>
            <w:tcBorders>
              <w:top w:val="single" w:color="000000" w:sz="4" w:space="0"/>
              <w:left w:val="single" w:color="000000" w:sz="4" w:space="0"/>
              <w:right w:val="single" w:color="000000" w:sz="4" w:space="0"/>
            </w:tcBorders>
            <w:shd w:val="clear" w:color="auto" w:fill="auto"/>
            <w:vAlign w:val="center"/>
          </w:tcPr>
          <w:p w14:paraId="64DD4A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根据业务需要，临时采购了其他急需采购的装备。在今后工作中提高指标设置的合理性，避免出现临时采购导致绩效目标偏差的情况。</w:t>
            </w:r>
          </w:p>
        </w:tc>
      </w:tr>
      <w:tr w14:paraId="076CA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222EB20E">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00B50FA5">
            <w:pPr>
              <w:jc w:val="center"/>
              <w:rPr>
                <w:rFonts w:hint="eastAsia" w:ascii="宋体" w:hAnsi="宋体" w:eastAsia="宋体" w:cs="宋体"/>
                <w:i w:val="0"/>
                <w:color w:val="000000"/>
                <w:sz w:val="18"/>
                <w:szCs w:val="18"/>
                <w:u w:val="none"/>
              </w:rPr>
            </w:pPr>
          </w:p>
        </w:tc>
        <w:tc>
          <w:tcPr>
            <w:tcW w:w="525" w:type="dxa"/>
            <w:vMerge w:val="continue"/>
            <w:tcBorders>
              <w:top w:val="single" w:color="000000" w:sz="4" w:space="0"/>
              <w:left w:val="single" w:color="000000" w:sz="4" w:space="0"/>
              <w:right w:val="single" w:color="000000" w:sz="4" w:space="0"/>
            </w:tcBorders>
            <w:shd w:val="clear" w:color="auto" w:fill="auto"/>
            <w:vAlign w:val="center"/>
          </w:tcPr>
          <w:p w14:paraId="3F48405B">
            <w:pPr>
              <w:jc w:val="center"/>
              <w:rPr>
                <w:rFonts w:hint="eastAsia" w:ascii="宋体" w:hAnsi="宋体" w:eastAsia="宋体" w:cs="宋体"/>
                <w:i w:val="0"/>
                <w:color w:val="000000"/>
                <w:sz w:val="18"/>
                <w:szCs w:val="18"/>
                <w:u w:val="none"/>
              </w:rPr>
            </w:pPr>
          </w:p>
        </w:tc>
        <w:tc>
          <w:tcPr>
            <w:tcW w:w="830" w:type="dxa"/>
            <w:tcBorders>
              <w:top w:val="single" w:color="000000" w:sz="4" w:space="0"/>
              <w:left w:val="single" w:color="000000" w:sz="4" w:space="0"/>
              <w:right w:val="single" w:color="000000" w:sz="4" w:space="0"/>
            </w:tcBorders>
            <w:shd w:val="clear" w:color="auto" w:fill="auto"/>
            <w:vAlign w:val="center"/>
          </w:tcPr>
          <w:p w14:paraId="536337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空调采购数量</w:t>
            </w:r>
          </w:p>
        </w:tc>
        <w:tc>
          <w:tcPr>
            <w:tcW w:w="515" w:type="dxa"/>
            <w:tcBorders>
              <w:top w:val="single" w:color="000000" w:sz="4" w:space="0"/>
              <w:left w:val="single" w:color="000000" w:sz="4" w:space="0"/>
              <w:right w:val="single" w:color="000000" w:sz="4" w:space="0"/>
            </w:tcBorders>
            <w:shd w:val="clear" w:color="auto" w:fill="auto"/>
            <w:vAlign w:val="center"/>
          </w:tcPr>
          <w:p w14:paraId="07EAC13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515" w:type="dxa"/>
            <w:tcBorders>
              <w:top w:val="single" w:color="000000" w:sz="4" w:space="0"/>
              <w:left w:val="single" w:color="000000" w:sz="4" w:space="0"/>
              <w:right w:val="single" w:color="000000" w:sz="4" w:space="0"/>
            </w:tcBorders>
            <w:shd w:val="clear" w:color="auto" w:fill="auto"/>
            <w:vAlign w:val="center"/>
          </w:tcPr>
          <w:p w14:paraId="335E68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525" w:type="dxa"/>
            <w:tcBorders>
              <w:top w:val="single" w:color="000000" w:sz="4" w:space="0"/>
              <w:left w:val="single" w:color="000000" w:sz="4" w:space="0"/>
              <w:right w:val="single" w:color="000000" w:sz="4" w:space="0"/>
            </w:tcBorders>
            <w:shd w:val="clear" w:color="auto" w:fill="auto"/>
            <w:vAlign w:val="center"/>
          </w:tcPr>
          <w:p w14:paraId="562DDE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532" w:type="dxa"/>
            <w:tcBorders>
              <w:top w:val="single" w:color="000000" w:sz="4" w:space="0"/>
              <w:left w:val="single" w:color="000000" w:sz="4" w:space="0"/>
              <w:right w:val="single" w:color="000000" w:sz="4" w:space="0"/>
            </w:tcBorders>
            <w:shd w:val="clear" w:color="auto" w:fill="auto"/>
            <w:vAlign w:val="center"/>
          </w:tcPr>
          <w:p w14:paraId="0DCBAE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83" w:type="dxa"/>
            <w:tcBorders>
              <w:top w:val="single" w:color="000000" w:sz="4" w:space="0"/>
              <w:left w:val="single" w:color="000000" w:sz="4" w:space="0"/>
              <w:right w:val="single" w:color="000000" w:sz="4" w:space="0"/>
            </w:tcBorders>
            <w:shd w:val="clear" w:color="auto" w:fill="auto"/>
            <w:vAlign w:val="center"/>
          </w:tcPr>
          <w:p w14:paraId="06F461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台</w:t>
            </w:r>
          </w:p>
        </w:tc>
        <w:tc>
          <w:tcPr>
            <w:tcW w:w="519" w:type="dxa"/>
            <w:tcBorders>
              <w:top w:val="single" w:color="000000" w:sz="4" w:space="0"/>
              <w:left w:val="single" w:color="000000" w:sz="4" w:space="0"/>
              <w:right w:val="single" w:color="000000" w:sz="4" w:space="0"/>
            </w:tcBorders>
            <w:shd w:val="clear" w:color="auto" w:fill="auto"/>
            <w:vAlign w:val="center"/>
          </w:tcPr>
          <w:p w14:paraId="6B6FE8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263F2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right w:val="single" w:color="000000" w:sz="4" w:space="0"/>
            </w:tcBorders>
            <w:shd w:val="clear" w:color="auto" w:fill="auto"/>
            <w:vAlign w:val="center"/>
          </w:tcPr>
          <w:p w14:paraId="616A0F50">
            <w:pPr>
              <w:jc w:val="center"/>
              <w:rPr>
                <w:rFonts w:hint="eastAsia" w:ascii="宋体" w:hAnsi="宋体" w:eastAsia="宋体" w:cs="宋体"/>
                <w:i w:val="0"/>
                <w:color w:val="000000"/>
                <w:sz w:val="18"/>
                <w:szCs w:val="18"/>
                <w:u w:val="none"/>
              </w:rPr>
            </w:pPr>
          </w:p>
        </w:tc>
      </w:tr>
      <w:tr w14:paraId="32F3A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10D4A7E9">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01ED4540">
            <w:pPr>
              <w:jc w:val="center"/>
              <w:rPr>
                <w:rFonts w:hint="eastAsia" w:ascii="宋体" w:hAnsi="宋体" w:eastAsia="宋体" w:cs="宋体"/>
                <w:i w:val="0"/>
                <w:color w:val="000000"/>
                <w:sz w:val="18"/>
                <w:szCs w:val="18"/>
                <w:u w:val="none"/>
              </w:rPr>
            </w:pPr>
          </w:p>
        </w:tc>
        <w:tc>
          <w:tcPr>
            <w:tcW w:w="525" w:type="dxa"/>
            <w:vMerge w:val="restart"/>
            <w:tcBorders>
              <w:top w:val="single" w:color="000000" w:sz="4" w:space="0"/>
              <w:left w:val="single" w:color="000000" w:sz="4" w:space="0"/>
              <w:right w:val="single" w:color="000000" w:sz="4" w:space="0"/>
            </w:tcBorders>
            <w:shd w:val="clear" w:color="auto" w:fill="auto"/>
            <w:vAlign w:val="center"/>
          </w:tcPr>
          <w:p w14:paraId="267F6E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830" w:type="dxa"/>
            <w:tcBorders>
              <w:top w:val="single" w:color="000000" w:sz="4" w:space="0"/>
              <w:left w:val="single" w:color="000000" w:sz="4" w:space="0"/>
              <w:right w:val="single" w:color="000000" w:sz="4" w:space="0"/>
            </w:tcBorders>
            <w:shd w:val="clear" w:color="auto" w:fill="auto"/>
            <w:vAlign w:val="center"/>
          </w:tcPr>
          <w:p w14:paraId="74B339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设备故障率</w:t>
            </w:r>
          </w:p>
        </w:tc>
        <w:tc>
          <w:tcPr>
            <w:tcW w:w="515" w:type="dxa"/>
            <w:tcBorders>
              <w:top w:val="single" w:color="000000" w:sz="4" w:space="0"/>
              <w:left w:val="single" w:color="000000" w:sz="4" w:space="0"/>
              <w:right w:val="single" w:color="000000" w:sz="4" w:space="0"/>
            </w:tcBorders>
            <w:shd w:val="clear" w:color="auto" w:fill="auto"/>
            <w:vAlign w:val="center"/>
          </w:tcPr>
          <w:p w14:paraId="2A898B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515" w:type="dxa"/>
            <w:tcBorders>
              <w:top w:val="single" w:color="000000" w:sz="4" w:space="0"/>
              <w:left w:val="single" w:color="000000" w:sz="4" w:space="0"/>
              <w:right w:val="single" w:color="000000" w:sz="4" w:space="0"/>
            </w:tcBorders>
            <w:shd w:val="clear" w:color="auto" w:fill="auto"/>
            <w:vAlign w:val="center"/>
          </w:tcPr>
          <w:p w14:paraId="03F6EF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525" w:type="dxa"/>
            <w:tcBorders>
              <w:top w:val="single" w:color="000000" w:sz="4" w:space="0"/>
              <w:left w:val="single" w:color="000000" w:sz="4" w:space="0"/>
              <w:right w:val="single" w:color="000000" w:sz="4" w:space="0"/>
            </w:tcBorders>
            <w:shd w:val="clear" w:color="auto" w:fill="auto"/>
            <w:vAlign w:val="center"/>
          </w:tcPr>
          <w:p w14:paraId="6BE861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2" w:type="dxa"/>
            <w:tcBorders>
              <w:top w:val="single" w:color="000000" w:sz="4" w:space="0"/>
              <w:left w:val="single" w:color="000000" w:sz="4" w:space="0"/>
              <w:right w:val="single" w:color="000000" w:sz="4" w:space="0"/>
            </w:tcBorders>
            <w:shd w:val="clear" w:color="auto" w:fill="auto"/>
            <w:vAlign w:val="center"/>
          </w:tcPr>
          <w:p w14:paraId="11DFF7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83" w:type="dxa"/>
            <w:tcBorders>
              <w:top w:val="single" w:color="000000" w:sz="4" w:space="0"/>
              <w:left w:val="single" w:color="000000" w:sz="4" w:space="0"/>
              <w:right w:val="single" w:color="000000" w:sz="4" w:space="0"/>
            </w:tcBorders>
            <w:shd w:val="clear" w:color="auto" w:fill="auto"/>
            <w:vAlign w:val="center"/>
          </w:tcPr>
          <w:p w14:paraId="0BCC9D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19" w:type="dxa"/>
            <w:tcBorders>
              <w:top w:val="single" w:color="000000" w:sz="4" w:space="0"/>
              <w:left w:val="single" w:color="000000" w:sz="4" w:space="0"/>
              <w:right w:val="single" w:color="000000" w:sz="4" w:space="0"/>
            </w:tcBorders>
            <w:shd w:val="clear" w:color="auto" w:fill="auto"/>
            <w:vAlign w:val="center"/>
          </w:tcPr>
          <w:p w14:paraId="5F48B2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379CC9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right w:val="single" w:color="000000" w:sz="4" w:space="0"/>
            </w:tcBorders>
            <w:shd w:val="clear" w:color="auto" w:fill="auto"/>
            <w:vAlign w:val="center"/>
          </w:tcPr>
          <w:p w14:paraId="38CAE400">
            <w:pPr>
              <w:jc w:val="center"/>
              <w:rPr>
                <w:rFonts w:hint="eastAsia" w:ascii="宋体" w:hAnsi="宋体" w:eastAsia="宋体" w:cs="宋体"/>
                <w:i w:val="0"/>
                <w:color w:val="000000"/>
                <w:sz w:val="18"/>
                <w:szCs w:val="18"/>
                <w:u w:val="none"/>
              </w:rPr>
            </w:pPr>
          </w:p>
        </w:tc>
      </w:tr>
      <w:tr w14:paraId="5B45C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68BD06B4">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5AE4854E">
            <w:pPr>
              <w:jc w:val="center"/>
              <w:rPr>
                <w:rFonts w:hint="eastAsia" w:ascii="宋体" w:hAnsi="宋体" w:eastAsia="宋体" w:cs="宋体"/>
                <w:i w:val="0"/>
                <w:color w:val="000000"/>
                <w:sz w:val="18"/>
                <w:szCs w:val="18"/>
                <w:u w:val="none"/>
              </w:rPr>
            </w:pPr>
          </w:p>
        </w:tc>
        <w:tc>
          <w:tcPr>
            <w:tcW w:w="525" w:type="dxa"/>
            <w:vMerge w:val="continue"/>
            <w:tcBorders>
              <w:top w:val="single" w:color="000000" w:sz="4" w:space="0"/>
              <w:left w:val="single" w:color="000000" w:sz="4" w:space="0"/>
              <w:right w:val="single" w:color="000000" w:sz="4" w:space="0"/>
            </w:tcBorders>
            <w:shd w:val="clear" w:color="auto" w:fill="auto"/>
            <w:vAlign w:val="center"/>
          </w:tcPr>
          <w:p w14:paraId="77B32DFF">
            <w:pPr>
              <w:jc w:val="center"/>
              <w:rPr>
                <w:rFonts w:hint="eastAsia" w:ascii="宋体" w:hAnsi="宋体" w:eastAsia="宋体" w:cs="宋体"/>
                <w:i w:val="0"/>
                <w:color w:val="000000"/>
                <w:sz w:val="18"/>
                <w:szCs w:val="18"/>
                <w:u w:val="none"/>
              </w:rPr>
            </w:pPr>
          </w:p>
        </w:tc>
        <w:tc>
          <w:tcPr>
            <w:tcW w:w="830" w:type="dxa"/>
            <w:tcBorders>
              <w:top w:val="single" w:color="000000" w:sz="4" w:space="0"/>
              <w:left w:val="single" w:color="000000" w:sz="4" w:space="0"/>
              <w:right w:val="single" w:color="000000" w:sz="4" w:space="0"/>
            </w:tcBorders>
            <w:shd w:val="clear" w:color="auto" w:fill="auto"/>
            <w:vAlign w:val="center"/>
          </w:tcPr>
          <w:p w14:paraId="6465906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装备质量验收合格率</w:t>
            </w:r>
          </w:p>
        </w:tc>
        <w:tc>
          <w:tcPr>
            <w:tcW w:w="515" w:type="dxa"/>
            <w:tcBorders>
              <w:top w:val="single" w:color="000000" w:sz="4" w:space="0"/>
              <w:left w:val="single" w:color="000000" w:sz="4" w:space="0"/>
              <w:right w:val="single" w:color="000000" w:sz="4" w:space="0"/>
            </w:tcBorders>
            <w:shd w:val="clear" w:color="auto" w:fill="auto"/>
            <w:vAlign w:val="center"/>
          </w:tcPr>
          <w:p w14:paraId="2DCEDD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515" w:type="dxa"/>
            <w:tcBorders>
              <w:top w:val="single" w:color="000000" w:sz="4" w:space="0"/>
              <w:left w:val="single" w:color="000000" w:sz="4" w:space="0"/>
              <w:right w:val="single" w:color="000000" w:sz="4" w:space="0"/>
            </w:tcBorders>
            <w:shd w:val="clear" w:color="auto" w:fill="auto"/>
            <w:vAlign w:val="center"/>
          </w:tcPr>
          <w:p w14:paraId="063611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525" w:type="dxa"/>
            <w:tcBorders>
              <w:top w:val="single" w:color="000000" w:sz="4" w:space="0"/>
              <w:left w:val="single" w:color="000000" w:sz="4" w:space="0"/>
              <w:right w:val="single" w:color="000000" w:sz="4" w:space="0"/>
            </w:tcBorders>
            <w:shd w:val="clear" w:color="auto" w:fill="auto"/>
            <w:vAlign w:val="center"/>
          </w:tcPr>
          <w:p w14:paraId="4C8FCF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32" w:type="dxa"/>
            <w:tcBorders>
              <w:top w:val="single" w:color="000000" w:sz="4" w:space="0"/>
              <w:left w:val="single" w:color="000000" w:sz="4" w:space="0"/>
              <w:right w:val="single" w:color="000000" w:sz="4" w:space="0"/>
            </w:tcBorders>
            <w:shd w:val="clear" w:color="auto" w:fill="auto"/>
            <w:vAlign w:val="center"/>
          </w:tcPr>
          <w:p w14:paraId="1A9B0B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83" w:type="dxa"/>
            <w:tcBorders>
              <w:top w:val="single" w:color="000000" w:sz="4" w:space="0"/>
              <w:left w:val="single" w:color="000000" w:sz="4" w:space="0"/>
              <w:right w:val="single" w:color="000000" w:sz="4" w:space="0"/>
            </w:tcBorders>
            <w:shd w:val="clear" w:color="auto" w:fill="auto"/>
            <w:vAlign w:val="center"/>
          </w:tcPr>
          <w:p w14:paraId="3EC8F8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19" w:type="dxa"/>
            <w:tcBorders>
              <w:top w:val="single" w:color="000000" w:sz="4" w:space="0"/>
              <w:left w:val="single" w:color="000000" w:sz="4" w:space="0"/>
              <w:right w:val="single" w:color="000000" w:sz="4" w:space="0"/>
            </w:tcBorders>
            <w:shd w:val="clear" w:color="auto" w:fill="auto"/>
            <w:vAlign w:val="center"/>
          </w:tcPr>
          <w:p w14:paraId="7D232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47979A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right w:val="single" w:color="000000" w:sz="4" w:space="0"/>
            </w:tcBorders>
            <w:shd w:val="clear" w:color="auto" w:fill="auto"/>
            <w:vAlign w:val="center"/>
          </w:tcPr>
          <w:p w14:paraId="1E6D8C85">
            <w:pPr>
              <w:jc w:val="center"/>
              <w:rPr>
                <w:rFonts w:hint="eastAsia" w:ascii="宋体" w:hAnsi="宋体" w:eastAsia="宋体" w:cs="宋体"/>
                <w:i w:val="0"/>
                <w:color w:val="000000"/>
                <w:sz w:val="18"/>
                <w:szCs w:val="18"/>
                <w:u w:val="none"/>
              </w:rPr>
            </w:pPr>
          </w:p>
        </w:tc>
      </w:tr>
      <w:tr w14:paraId="72652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3B192DF7">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15A7703B">
            <w:pPr>
              <w:jc w:val="center"/>
              <w:rPr>
                <w:rFonts w:hint="eastAsia" w:ascii="宋体" w:hAnsi="宋体" w:eastAsia="宋体" w:cs="宋体"/>
                <w:i w:val="0"/>
                <w:color w:val="000000"/>
                <w:sz w:val="18"/>
                <w:szCs w:val="18"/>
                <w:u w:val="none"/>
              </w:rPr>
            </w:pPr>
          </w:p>
        </w:tc>
        <w:tc>
          <w:tcPr>
            <w:tcW w:w="525" w:type="dxa"/>
            <w:vMerge w:val="restart"/>
            <w:tcBorders>
              <w:top w:val="single" w:color="000000" w:sz="4" w:space="0"/>
              <w:left w:val="single" w:color="000000" w:sz="4" w:space="0"/>
              <w:right w:val="single" w:color="000000" w:sz="4" w:space="0"/>
            </w:tcBorders>
            <w:shd w:val="clear" w:color="auto" w:fill="auto"/>
            <w:vAlign w:val="center"/>
          </w:tcPr>
          <w:p w14:paraId="63335C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830" w:type="dxa"/>
            <w:tcBorders>
              <w:top w:val="single" w:color="000000" w:sz="4" w:space="0"/>
              <w:left w:val="single" w:color="000000" w:sz="4" w:space="0"/>
              <w:right w:val="single" w:color="000000" w:sz="4" w:space="0"/>
            </w:tcBorders>
            <w:shd w:val="clear" w:color="auto" w:fill="auto"/>
            <w:vAlign w:val="center"/>
          </w:tcPr>
          <w:p w14:paraId="302D65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装备安装时间</w:t>
            </w:r>
          </w:p>
        </w:tc>
        <w:tc>
          <w:tcPr>
            <w:tcW w:w="515" w:type="dxa"/>
            <w:tcBorders>
              <w:top w:val="single" w:color="000000" w:sz="4" w:space="0"/>
              <w:left w:val="single" w:color="000000" w:sz="4" w:space="0"/>
              <w:right w:val="single" w:color="000000" w:sz="4" w:space="0"/>
            </w:tcBorders>
            <w:shd w:val="clear" w:color="auto" w:fill="auto"/>
            <w:vAlign w:val="center"/>
          </w:tcPr>
          <w:p w14:paraId="732632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515" w:type="dxa"/>
            <w:tcBorders>
              <w:top w:val="single" w:color="000000" w:sz="4" w:space="0"/>
              <w:left w:val="single" w:color="000000" w:sz="4" w:space="0"/>
              <w:right w:val="single" w:color="000000" w:sz="4" w:space="0"/>
            </w:tcBorders>
            <w:shd w:val="clear" w:color="auto" w:fill="auto"/>
            <w:vAlign w:val="center"/>
          </w:tcPr>
          <w:p w14:paraId="730272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525" w:type="dxa"/>
            <w:tcBorders>
              <w:top w:val="single" w:color="000000" w:sz="4" w:space="0"/>
              <w:left w:val="single" w:color="000000" w:sz="4" w:space="0"/>
              <w:right w:val="single" w:color="000000" w:sz="4" w:space="0"/>
            </w:tcBorders>
            <w:shd w:val="clear" w:color="auto" w:fill="auto"/>
            <w:vAlign w:val="center"/>
          </w:tcPr>
          <w:p w14:paraId="1CC408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32" w:type="dxa"/>
            <w:tcBorders>
              <w:top w:val="single" w:color="000000" w:sz="4" w:space="0"/>
              <w:left w:val="single" w:color="000000" w:sz="4" w:space="0"/>
              <w:right w:val="single" w:color="000000" w:sz="4" w:space="0"/>
            </w:tcBorders>
            <w:shd w:val="clear" w:color="auto" w:fill="auto"/>
            <w:vAlign w:val="center"/>
          </w:tcPr>
          <w:p w14:paraId="3B6742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83" w:type="dxa"/>
            <w:tcBorders>
              <w:top w:val="single" w:color="000000" w:sz="4" w:space="0"/>
              <w:left w:val="single" w:color="000000" w:sz="4" w:space="0"/>
              <w:right w:val="single" w:color="000000" w:sz="4" w:space="0"/>
            </w:tcBorders>
            <w:shd w:val="clear" w:color="auto" w:fill="auto"/>
            <w:vAlign w:val="center"/>
          </w:tcPr>
          <w:p w14:paraId="32C737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月</w:t>
            </w:r>
          </w:p>
        </w:tc>
        <w:tc>
          <w:tcPr>
            <w:tcW w:w="519" w:type="dxa"/>
            <w:tcBorders>
              <w:top w:val="single" w:color="000000" w:sz="4" w:space="0"/>
              <w:left w:val="single" w:color="000000" w:sz="4" w:space="0"/>
              <w:right w:val="single" w:color="000000" w:sz="4" w:space="0"/>
            </w:tcBorders>
            <w:shd w:val="clear" w:color="auto" w:fill="auto"/>
            <w:vAlign w:val="center"/>
          </w:tcPr>
          <w:p w14:paraId="57AF67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167EBF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right w:val="single" w:color="000000" w:sz="4" w:space="0"/>
            </w:tcBorders>
            <w:shd w:val="clear" w:color="auto" w:fill="auto"/>
            <w:vAlign w:val="center"/>
          </w:tcPr>
          <w:p w14:paraId="4C2DF7FE">
            <w:pPr>
              <w:jc w:val="center"/>
              <w:rPr>
                <w:rFonts w:hint="eastAsia" w:ascii="宋体" w:hAnsi="宋体" w:eastAsia="宋体" w:cs="宋体"/>
                <w:i w:val="0"/>
                <w:color w:val="000000"/>
                <w:sz w:val="18"/>
                <w:szCs w:val="18"/>
                <w:u w:val="none"/>
              </w:rPr>
            </w:pPr>
          </w:p>
        </w:tc>
      </w:tr>
      <w:tr w14:paraId="4DE0E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6C95359F">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3B8C49E4">
            <w:pPr>
              <w:jc w:val="center"/>
              <w:rPr>
                <w:rFonts w:hint="eastAsia" w:ascii="宋体" w:hAnsi="宋体" w:eastAsia="宋体" w:cs="宋体"/>
                <w:i w:val="0"/>
                <w:color w:val="000000"/>
                <w:sz w:val="18"/>
                <w:szCs w:val="18"/>
                <w:u w:val="none"/>
              </w:rPr>
            </w:pPr>
          </w:p>
        </w:tc>
        <w:tc>
          <w:tcPr>
            <w:tcW w:w="525" w:type="dxa"/>
            <w:vMerge w:val="continue"/>
            <w:tcBorders>
              <w:top w:val="single" w:color="000000" w:sz="4" w:space="0"/>
              <w:left w:val="single" w:color="000000" w:sz="4" w:space="0"/>
              <w:right w:val="single" w:color="000000" w:sz="4" w:space="0"/>
            </w:tcBorders>
            <w:shd w:val="clear" w:color="auto" w:fill="auto"/>
            <w:vAlign w:val="center"/>
          </w:tcPr>
          <w:p w14:paraId="3570DABB">
            <w:pPr>
              <w:jc w:val="center"/>
              <w:rPr>
                <w:rFonts w:hint="eastAsia" w:ascii="宋体" w:hAnsi="宋体" w:eastAsia="宋体" w:cs="宋体"/>
                <w:i w:val="0"/>
                <w:color w:val="000000"/>
                <w:sz w:val="18"/>
                <w:szCs w:val="18"/>
                <w:u w:val="none"/>
              </w:rPr>
            </w:pPr>
          </w:p>
        </w:tc>
        <w:tc>
          <w:tcPr>
            <w:tcW w:w="830" w:type="dxa"/>
            <w:tcBorders>
              <w:top w:val="single" w:color="000000" w:sz="4" w:space="0"/>
              <w:left w:val="single" w:color="000000" w:sz="4" w:space="0"/>
              <w:right w:val="single" w:color="000000" w:sz="4" w:space="0"/>
            </w:tcBorders>
            <w:shd w:val="clear" w:color="auto" w:fill="auto"/>
            <w:vAlign w:val="center"/>
          </w:tcPr>
          <w:p w14:paraId="5F5500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装备采购时间</w:t>
            </w:r>
          </w:p>
        </w:tc>
        <w:tc>
          <w:tcPr>
            <w:tcW w:w="515" w:type="dxa"/>
            <w:tcBorders>
              <w:top w:val="single" w:color="000000" w:sz="4" w:space="0"/>
              <w:left w:val="single" w:color="000000" w:sz="4" w:space="0"/>
              <w:right w:val="single" w:color="000000" w:sz="4" w:space="0"/>
            </w:tcBorders>
            <w:shd w:val="clear" w:color="auto" w:fill="auto"/>
            <w:vAlign w:val="center"/>
          </w:tcPr>
          <w:p w14:paraId="4598B5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515" w:type="dxa"/>
            <w:tcBorders>
              <w:top w:val="single" w:color="000000" w:sz="4" w:space="0"/>
              <w:left w:val="single" w:color="000000" w:sz="4" w:space="0"/>
              <w:right w:val="single" w:color="000000" w:sz="4" w:space="0"/>
            </w:tcBorders>
            <w:shd w:val="clear" w:color="auto" w:fill="auto"/>
            <w:vAlign w:val="center"/>
          </w:tcPr>
          <w:p w14:paraId="0D4D9B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525" w:type="dxa"/>
            <w:tcBorders>
              <w:top w:val="single" w:color="000000" w:sz="4" w:space="0"/>
              <w:left w:val="single" w:color="000000" w:sz="4" w:space="0"/>
              <w:right w:val="single" w:color="000000" w:sz="4" w:space="0"/>
            </w:tcBorders>
            <w:shd w:val="clear" w:color="auto" w:fill="auto"/>
            <w:vAlign w:val="center"/>
          </w:tcPr>
          <w:p w14:paraId="711068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532" w:type="dxa"/>
            <w:tcBorders>
              <w:top w:val="single" w:color="000000" w:sz="4" w:space="0"/>
              <w:left w:val="single" w:color="000000" w:sz="4" w:space="0"/>
              <w:right w:val="single" w:color="000000" w:sz="4" w:space="0"/>
            </w:tcBorders>
            <w:shd w:val="clear" w:color="auto" w:fill="auto"/>
            <w:vAlign w:val="center"/>
          </w:tcPr>
          <w:p w14:paraId="495458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83" w:type="dxa"/>
            <w:tcBorders>
              <w:top w:val="single" w:color="000000" w:sz="4" w:space="0"/>
              <w:left w:val="single" w:color="000000" w:sz="4" w:space="0"/>
              <w:right w:val="single" w:color="000000" w:sz="4" w:space="0"/>
            </w:tcBorders>
            <w:shd w:val="clear" w:color="auto" w:fill="auto"/>
            <w:vAlign w:val="center"/>
          </w:tcPr>
          <w:p w14:paraId="0BE7BB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月</w:t>
            </w:r>
          </w:p>
        </w:tc>
        <w:tc>
          <w:tcPr>
            <w:tcW w:w="519" w:type="dxa"/>
            <w:tcBorders>
              <w:top w:val="single" w:color="000000" w:sz="4" w:space="0"/>
              <w:left w:val="single" w:color="000000" w:sz="4" w:space="0"/>
              <w:right w:val="single" w:color="000000" w:sz="4" w:space="0"/>
            </w:tcBorders>
            <w:shd w:val="clear" w:color="auto" w:fill="auto"/>
            <w:vAlign w:val="center"/>
          </w:tcPr>
          <w:p w14:paraId="6C4B01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63F92B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right w:val="single" w:color="000000" w:sz="4" w:space="0"/>
            </w:tcBorders>
            <w:shd w:val="clear" w:color="auto" w:fill="auto"/>
            <w:vAlign w:val="center"/>
          </w:tcPr>
          <w:p w14:paraId="5EC60FB1">
            <w:pPr>
              <w:jc w:val="center"/>
              <w:rPr>
                <w:rFonts w:hint="eastAsia" w:ascii="宋体" w:hAnsi="宋体" w:eastAsia="宋体" w:cs="宋体"/>
                <w:i w:val="0"/>
                <w:color w:val="000000"/>
                <w:sz w:val="18"/>
                <w:szCs w:val="18"/>
                <w:u w:val="none"/>
              </w:rPr>
            </w:pPr>
          </w:p>
        </w:tc>
      </w:tr>
      <w:tr w14:paraId="17AA6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0E6B2695">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767C4558">
            <w:pPr>
              <w:jc w:val="center"/>
              <w:rPr>
                <w:rFonts w:hint="eastAsia" w:ascii="宋体" w:hAnsi="宋体" w:eastAsia="宋体" w:cs="宋体"/>
                <w:i w:val="0"/>
                <w:color w:val="000000"/>
                <w:sz w:val="18"/>
                <w:szCs w:val="18"/>
                <w:u w:val="none"/>
              </w:rPr>
            </w:pPr>
          </w:p>
        </w:tc>
        <w:tc>
          <w:tcPr>
            <w:tcW w:w="525" w:type="dxa"/>
            <w:vMerge w:val="restart"/>
            <w:tcBorders>
              <w:top w:val="single" w:color="000000" w:sz="4" w:space="0"/>
              <w:left w:val="single" w:color="000000" w:sz="4" w:space="0"/>
              <w:right w:val="single" w:color="000000" w:sz="4" w:space="0"/>
            </w:tcBorders>
            <w:shd w:val="clear" w:color="auto" w:fill="auto"/>
            <w:vAlign w:val="center"/>
          </w:tcPr>
          <w:p w14:paraId="50BAEA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30" w:type="dxa"/>
            <w:tcBorders>
              <w:top w:val="single" w:color="000000" w:sz="4" w:space="0"/>
              <w:left w:val="single" w:color="000000" w:sz="4" w:space="0"/>
              <w:right w:val="single" w:color="000000" w:sz="4" w:space="0"/>
            </w:tcBorders>
            <w:shd w:val="clear" w:color="auto" w:fill="auto"/>
            <w:vAlign w:val="center"/>
          </w:tcPr>
          <w:p w14:paraId="4FF1F6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项目总支出</w:t>
            </w:r>
          </w:p>
        </w:tc>
        <w:tc>
          <w:tcPr>
            <w:tcW w:w="515" w:type="dxa"/>
            <w:tcBorders>
              <w:top w:val="single" w:color="000000" w:sz="4" w:space="0"/>
              <w:left w:val="single" w:color="000000" w:sz="4" w:space="0"/>
              <w:right w:val="single" w:color="000000" w:sz="4" w:space="0"/>
            </w:tcBorders>
            <w:shd w:val="clear" w:color="auto" w:fill="auto"/>
            <w:vAlign w:val="center"/>
          </w:tcPr>
          <w:p w14:paraId="50D8F8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515" w:type="dxa"/>
            <w:tcBorders>
              <w:top w:val="single" w:color="000000" w:sz="4" w:space="0"/>
              <w:left w:val="single" w:color="000000" w:sz="4" w:space="0"/>
              <w:right w:val="single" w:color="000000" w:sz="4" w:space="0"/>
            </w:tcBorders>
            <w:shd w:val="clear" w:color="auto" w:fill="auto"/>
            <w:vAlign w:val="center"/>
          </w:tcPr>
          <w:p w14:paraId="7E0613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525" w:type="dxa"/>
            <w:tcBorders>
              <w:top w:val="single" w:color="000000" w:sz="4" w:space="0"/>
              <w:left w:val="single" w:color="000000" w:sz="4" w:space="0"/>
              <w:right w:val="single" w:color="000000" w:sz="4" w:space="0"/>
            </w:tcBorders>
            <w:shd w:val="clear" w:color="auto" w:fill="auto"/>
            <w:vAlign w:val="center"/>
          </w:tcPr>
          <w:p w14:paraId="7B0F99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w:t>
            </w:r>
          </w:p>
        </w:tc>
        <w:tc>
          <w:tcPr>
            <w:tcW w:w="532" w:type="dxa"/>
            <w:tcBorders>
              <w:top w:val="single" w:color="000000" w:sz="4" w:space="0"/>
              <w:left w:val="single" w:color="000000" w:sz="4" w:space="0"/>
              <w:right w:val="single" w:color="000000" w:sz="4" w:space="0"/>
            </w:tcBorders>
            <w:shd w:val="clear" w:color="auto" w:fill="auto"/>
            <w:vAlign w:val="center"/>
          </w:tcPr>
          <w:p w14:paraId="2CF133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47.39</w:t>
            </w:r>
          </w:p>
        </w:tc>
        <w:tc>
          <w:tcPr>
            <w:tcW w:w="883" w:type="dxa"/>
            <w:tcBorders>
              <w:top w:val="single" w:color="000000" w:sz="4" w:space="0"/>
              <w:left w:val="single" w:color="000000" w:sz="4" w:space="0"/>
              <w:right w:val="single" w:color="000000" w:sz="4" w:space="0"/>
            </w:tcBorders>
            <w:shd w:val="clear" w:color="auto" w:fill="auto"/>
            <w:vAlign w:val="center"/>
          </w:tcPr>
          <w:p w14:paraId="0596D2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519" w:type="dxa"/>
            <w:tcBorders>
              <w:top w:val="single" w:color="000000" w:sz="4" w:space="0"/>
              <w:left w:val="single" w:color="000000" w:sz="4" w:space="0"/>
              <w:right w:val="single" w:color="000000" w:sz="4" w:space="0"/>
            </w:tcBorders>
            <w:shd w:val="clear" w:color="auto" w:fill="auto"/>
            <w:vAlign w:val="center"/>
          </w:tcPr>
          <w:p w14:paraId="4B59EB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1B5E29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right w:val="single" w:color="000000" w:sz="4" w:space="0"/>
            </w:tcBorders>
            <w:shd w:val="clear" w:color="auto" w:fill="auto"/>
            <w:vAlign w:val="center"/>
          </w:tcPr>
          <w:p w14:paraId="1627F5FA">
            <w:pPr>
              <w:jc w:val="center"/>
              <w:rPr>
                <w:rFonts w:hint="eastAsia" w:ascii="宋体" w:hAnsi="宋体" w:eastAsia="宋体" w:cs="宋体"/>
                <w:i w:val="0"/>
                <w:color w:val="000000"/>
                <w:sz w:val="18"/>
                <w:szCs w:val="18"/>
                <w:u w:val="none"/>
              </w:rPr>
            </w:pPr>
          </w:p>
        </w:tc>
      </w:tr>
      <w:tr w14:paraId="2524B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66D783CE">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75141970">
            <w:pPr>
              <w:jc w:val="center"/>
              <w:rPr>
                <w:rFonts w:hint="eastAsia" w:ascii="宋体" w:hAnsi="宋体" w:eastAsia="宋体" w:cs="宋体"/>
                <w:i w:val="0"/>
                <w:color w:val="000000"/>
                <w:sz w:val="18"/>
                <w:szCs w:val="18"/>
                <w:u w:val="none"/>
              </w:rPr>
            </w:pPr>
          </w:p>
        </w:tc>
        <w:tc>
          <w:tcPr>
            <w:tcW w:w="525" w:type="dxa"/>
            <w:vMerge w:val="continue"/>
            <w:tcBorders>
              <w:top w:val="single" w:color="000000" w:sz="4" w:space="0"/>
              <w:left w:val="single" w:color="000000" w:sz="4" w:space="0"/>
              <w:right w:val="single" w:color="000000" w:sz="4" w:space="0"/>
            </w:tcBorders>
            <w:shd w:val="clear" w:color="auto" w:fill="auto"/>
            <w:vAlign w:val="center"/>
          </w:tcPr>
          <w:p w14:paraId="35212012">
            <w:pPr>
              <w:jc w:val="center"/>
              <w:rPr>
                <w:rFonts w:hint="eastAsia" w:ascii="宋体" w:hAnsi="宋体" w:eastAsia="宋体" w:cs="宋体"/>
                <w:i w:val="0"/>
                <w:color w:val="000000"/>
                <w:sz w:val="18"/>
                <w:szCs w:val="18"/>
                <w:u w:val="none"/>
              </w:rPr>
            </w:pPr>
          </w:p>
        </w:tc>
        <w:tc>
          <w:tcPr>
            <w:tcW w:w="830" w:type="dxa"/>
            <w:tcBorders>
              <w:top w:val="single" w:color="000000" w:sz="4" w:space="0"/>
              <w:left w:val="single" w:color="000000" w:sz="4" w:space="0"/>
              <w:right w:val="single" w:color="000000" w:sz="4" w:space="0"/>
            </w:tcBorders>
            <w:shd w:val="clear" w:color="auto" w:fill="auto"/>
            <w:vAlign w:val="center"/>
          </w:tcPr>
          <w:p w14:paraId="61F145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空调采购成本</w:t>
            </w:r>
          </w:p>
        </w:tc>
        <w:tc>
          <w:tcPr>
            <w:tcW w:w="515" w:type="dxa"/>
            <w:tcBorders>
              <w:top w:val="single" w:color="000000" w:sz="4" w:space="0"/>
              <w:left w:val="single" w:color="000000" w:sz="4" w:space="0"/>
              <w:right w:val="single" w:color="000000" w:sz="4" w:space="0"/>
            </w:tcBorders>
            <w:shd w:val="clear" w:color="auto" w:fill="auto"/>
            <w:vAlign w:val="center"/>
          </w:tcPr>
          <w:p w14:paraId="5B0F96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515" w:type="dxa"/>
            <w:tcBorders>
              <w:top w:val="single" w:color="000000" w:sz="4" w:space="0"/>
              <w:left w:val="single" w:color="000000" w:sz="4" w:space="0"/>
              <w:right w:val="single" w:color="000000" w:sz="4" w:space="0"/>
            </w:tcBorders>
            <w:shd w:val="clear" w:color="auto" w:fill="auto"/>
            <w:vAlign w:val="center"/>
          </w:tcPr>
          <w:p w14:paraId="2E0F81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525" w:type="dxa"/>
            <w:tcBorders>
              <w:top w:val="single" w:color="000000" w:sz="4" w:space="0"/>
              <w:left w:val="single" w:color="000000" w:sz="4" w:space="0"/>
              <w:right w:val="single" w:color="000000" w:sz="4" w:space="0"/>
            </w:tcBorders>
            <w:shd w:val="clear" w:color="auto" w:fill="auto"/>
            <w:vAlign w:val="center"/>
          </w:tcPr>
          <w:p w14:paraId="31459E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w:t>
            </w:r>
          </w:p>
        </w:tc>
        <w:tc>
          <w:tcPr>
            <w:tcW w:w="532" w:type="dxa"/>
            <w:tcBorders>
              <w:top w:val="single" w:color="000000" w:sz="4" w:space="0"/>
              <w:left w:val="single" w:color="000000" w:sz="4" w:space="0"/>
              <w:right w:val="single" w:color="000000" w:sz="4" w:space="0"/>
            </w:tcBorders>
            <w:shd w:val="clear" w:color="auto" w:fill="auto"/>
            <w:vAlign w:val="center"/>
          </w:tcPr>
          <w:p w14:paraId="3460EA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0.84</w:t>
            </w:r>
          </w:p>
        </w:tc>
        <w:tc>
          <w:tcPr>
            <w:tcW w:w="883" w:type="dxa"/>
            <w:tcBorders>
              <w:top w:val="single" w:color="000000" w:sz="4" w:space="0"/>
              <w:left w:val="single" w:color="000000" w:sz="4" w:space="0"/>
              <w:right w:val="single" w:color="000000" w:sz="4" w:space="0"/>
            </w:tcBorders>
            <w:shd w:val="clear" w:color="auto" w:fill="auto"/>
            <w:vAlign w:val="center"/>
          </w:tcPr>
          <w:p w14:paraId="3AC77E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519" w:type="dxa"/>
            <w:tcBorders>
              <w:top w:val="single" w:color="000000" w:sz="4" w:space="0"/>
              <w:left w:val="single" w:color="000000" w:sz="4" w:space="0"/>
              <w:right w:val="single" w:color="000000" w:sz="4" w:space="0"/>
            </w:tcBorders>
            <w:shd w:val="clear" w:color="auto" w:fill="auto"/>
            <w:vAlign w:val="center"/>
          </w:tcPr>
          <w:p w14:paraId="59434A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55" w:type="dxa"/>
            <w:tcBorders>
              <w:top w:val="single" w:color="000000" w:sz="4" w:space="0"/>
              <w:left w:val="single" w:color="000000" w:sz="4" w:space="0"/>
              <w:right w:val="single" w:color="000000" w:sz="4" w:space="0"/>
            </w:tcBorders>
            <w:shd w:val="clear" w:color="auto" w:fill="auto"/>
            <w:vAlign w:val="center"/>
          </w:tcPr>
          <w:p w14:paraId="27033E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78" w:type="dxa"/>
            <w:tcBorders>
              <w:top w:val="single" w:color="000000" w:sz="4" w:space="0"/>
              <w:left w:val="single" w:color="000000" w:sz="4" w:space="0"/>
              <w:right w:val="single" w:color="000000" w:sz="4" w:space="0"/>
            </w:tcBorders>
            <w:shd w:val="clear" w:color="auto" w:fill="auto"/>
            <w:vAlign w:val="center"/>
          </w:tcPr>
          <w:p w14:paraId="78B1F9CC">
            <w:pPr>
              <w:jc w:val="center"/>
              <w:rPr>
                <w:rFonts w:hint="eastAsia" w:ascii="宋体" w:hAnsi="宋体" w:eastAsia="宋体" w:cs="宋体"/>
                <w:i w:val="0"/>
                <w:color w:val="000000"/>
                <w:sz w:val="18"/>
                <w:szCs w:val="18"/>
                <w:u w:val="none"/>
              </w:rPr>
            </w:pPr>
          </w:p>
        </w:tc>
      </w:tr>
      <w:tr w14:paraId="5778F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2F4967F8">
            <w:pPr>
              <w:jc w:val="center"/>
              <w:rPr>
                <w:rFonts w:hint="eastAsia" w:ascii="宋体" w:hAnsi="宋体" w:eastAsia="宋体" w:cs="宋体"/>
                <w:i w:val="0"/>
                <w:color w:val="000000"/>
                <w:sz w:val="18"/>
                <w:szCs w:val="18"/>
                <w:u w:val="none"/>
              </w:rPr>
            </w:pPr>
          </w:p>
        </w:tc>
        <w:tc>
          <w:tcPr>
            <w:tcW w:w="870" w:type="dxa"/>
            <w:vMerge w:val="restart"/>
            <w:tcBorders>
              <w:top w:val="single" w:color="000000" w:sz="4" w:space="0"/>
              <w:left w:val="single" w:color="000000" w:sz="4" w:space="0"/>
              <w:right w:val="single" w:color="000000" w:sz="4" w:space="0"/>
            </w:tcBorders>
            <w:shd w:val="clear" w:color="auto" w:fill="auto"/>
            <w:vAlign w:val="center"/>
          </w:tcPr>
          <w:p w14:paraId="23DAD2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525" w:type="dxa"/>
            <w:tcBorders>
              <w:top w:val="single" w:color="000000" w:sz="4" w:space="0"/>
              <w:left w:val="single" w:color="000000" w:sz="4" w:space="0"/>
              <w:right w:val="single" w:color="000000" w:sz="4" w:space="0"/>
            </w:tcBorders>
            <w:shd w:val="clear" w:color="auto" w:fill="auto"/>
            <w:vAlign w:val="center"/>
          </w:tcPr>
          <w:p w14:paraId="42831D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830" w:type="dxa"/>
            <w:tcBorders>
              <w:top w:val="single" w:color="000000" w:sz="4" w:space="0"/>
              <w:left w:val="single" w:color="000000" w:sz="4" w:space="0"/>
              <w:right w:val="single" w:color="000000" w:sz="4" w:space="0"/>
            </w:tcBorders>
            <w:shd w:val="clear" w:color="auto" w:fill="auto"/>
            <w:vAlign w:val="center"/>
          </w:tcPr>
          <w:p w14:paraId="1E3741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工作效率</w:t>
            </w:r>
          </w:p>
        </w:tc>
        <w:tc>
          <w:tcPr>
            <w:tcW w:w="515" w:type="dxa"/>
            <w:tcBorders>
              <w:top w:val="single" w:color="000000" w:sz="4" w:space="0"/>
              <w:left w:val="single" w:color="000000" w:sz="4" w:space="0"/>
              <w:right w:val="single" w:color="000000" w:sz="4" w:space="0"/>
            </w:tcBorders>
            <w:shd w:val="clear" w:color="auto" w:fill="auto"/>
            <w:vAlign w:val="center"/>
          </w:tcPr>
          <w:p w14:paraId="38D1FFB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515" w:type="dxa"/>
            <w:tcBorders>
              <w:top w:val="single" w:color="000000" w:sz="4" w:space="0"/>
              <w:left w:val="single" w:color="000000" w:sz="4" w:space="0"/>
              <w:right w:val="single" w:color="000000" w:sz="4" w:space="0"/>
            </w:tcBorders>
            <w:shd w:val="clear" w:color="auto" w:fill="auto"/>
            <w:vAlign w:val="center"/>
          </w:tcPr>
          <w:p w14:paraId="62FE005E">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right w:val="single" w:color="000000" w:sz="4" w:space="0"/>
            </w:tcBorders>
            <w:shd w:val="clear" w:color="auto" w:fill="auto"/>
            <w:vAlign w:val="center"/>
          </w:tcPr>
          <w:p w14:paraId="216E5B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532" w:type="dxa"/>
            <w:tcBorders>
              <w:top w:val="single" w:color="000000" w:sz="4" w:space="0"/>
              <w:left w:val="single" w:color="000000" w:sz="4" w:space="0"/>
              <w:right w:val="single" w:color="000000" w:sz="4" w:space="0"/>
            </w:tcBorders>
            <w:shd w:val="clear" w:color="auto" w:fill="auto"/>
            <w:vAlign w:val="center"/>
          </w:tcPr>
          <w:p w14:paraId="53F77D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w:t>
            </w:r>
          </w:p>
        </w:tc>
        <w:tc>
          <w:tcPr>
            <w:tcW w:w="883" w:type="dxa"/>
            <w:tcBorders>
              <w:top w:val="single" w:color="000000" w:sz="4" w:space="0"/>
              <w:left w:val="single" w:color="000000" w:sz="4" w:space="0"/>
              <w:right w:val="single" w:color="000000" w:sz="4" w:space="0"/>
            </w:tcBorders>
            <w:shd w:val="clear" w:color="auto" w:fill="auto"/>
            <w:vAlign w:val="center"/>
          </w:tcPr>
          <w:p w14:paraId="1122F4F7">
            <w:pPr>
              <w:jc w:val="center"/>
              <w:rPr>
                <w:rFonts w:hint="eastAsia" w:ascii="宋体" w:hAnsi="宋体" w:eastAsia="宋体" w:cs="宋体"/>
                <w:i w:val="0"/>
                <w:color w:val="000000"/>
                <w:sz w:val="18"/>
                <w:szCs w:val="18"/>
                <w:u w:val="none"/>
              </w:rPr>
            </w:pPr>
          </w:p>
        </w:tc>
        <w:tc>
          <w:tcPr>
            <w:tcW w:w="519" w:type="dxa"/>
            <w:tcBorders>
              <w:top w:val="single" w:color="000000" w:sz="4" w:space="0"/>
              <w:left w:val="single" w:color="000000" w:sz="4" w:space="0"/>
              <w:right w:val="single" w:color="000000" w:sz="4" w:space="0"/>
            </w:tcBorders>
            <w:shd w:val="clear" w:color="auto" w:fill="auto"/>
            <w:vAlign w:val="center"/>
          </w:tcPr>
          <w:p w14:paraId="39B96B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55" w:type="dxa"/>
            <w:tcBorders>
              <w:top w:val="single" w:color="000000" w:sz="4" w:space="0"/>
              <w:left w:val="single" w:color="000000" w:sz="4" w:space="0"/>
              <w:right w:val="single" w:color="000000" w:sz="4" w:space="0"/>
            </w:tcBorders>
            <w:shd w:val="clear" w:color="auto" w:fill="auto"/>
            <w:vAlign w:val="center"/>
          </w:tcPr>
          <w:p w14:paraId="136BC3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78" w:type="dxa"/>
            <w:tcBorders>
              <w:top w:val="single" w:color="000000" w:sz="4" w:space="0"/>
              <w:left w:val="single" w:color="000000" w:sz="4" w:space="0"/>
              <w:right w:val="single" w:color="000000" w:sz="4" w:space="0"/>
            </w:tcBorders>
            <w:shd w:val="clear" w:color="auto" w:fill="auto"/>
            <w:vAlign w:val="center"/>
          </w:tcPr>
          <w:p w14:paraId="620C9044">
            <w:pPr>
              <w:jc w:val="center"/>
              <w:rPr>
                <w:rFonts w:hint="eastAsia" w:ascii="宋体" w:hAnsi="宋体" w:eastAsia="宋体" w:cs="宋体"/>
                <w:i w:val="0"/>
                <w:color w:val="000000"/>
                <w:sz w:val="18"/>
                <w:szCs w:val="18"/>
                <w:u w:val="none"/>
              </w:rPr>
            </w:pPr>
          </w:p>
        </w:tc>
      </w:tr>
      <w:tr w14:paraId="030B9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4EC474C8">
            <w:pPr>
              <w:jc w:val="center"/>
              <w:rPr>
                <w:rFonts w:hint="eastAsia" w:ascii="宋体" w:hAnsi="宋体" w:eastAsia="宋体" w:cs="宋体"/>
                <w:i w:val="0"/>
                <w:color w:val="000000"/>
                <w:sz w:val="18"/>
                <w:szCs w:val="18"/>
                <w:u w:val="none"/>
              </w:rPr>
            </w:pPr>
          </w:p>
        </w:tc>
        <w:tc>
          <w:tcPr>
            <w:tcW w:w="870" w:type="dxa"/>
            <w:vMerge w:val="continue"/>
            <w:tcBorders>
              <w:top w:val="single" w:color="000000" w:sz="4" w:space="0"/>
              <w:left w:val="single" w:color="000000" w:sz="4" w:space="0"/>
              <w:right w:val="single" w:color="000000" w:sz="4" w:space="0"/>
            </w:tcBorders>
            <w:shd w:val="clear" w:color="auto" w:fill="auto"/>
            <w:vAlign w:val="center"/>
          </w:tcPr>
          <w:p w14:paraId="22EAAEB1">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right w:val="single" w:color="000000" w:sz="4" w:space="0"/>
            </w:tcBorders>
            <w:shd w:val="clear" w:color="auto" w:fill="auto"/>
            <w:vAlign w:val="center"/>
          </w:tcPr>
          <w:p w14:paraId="2D6533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830" w:type="dxa"/>
            <w:tcBorders>
              <w:top w:val="single" w:color="000000" w:sz="4" w:space="0"/>
              <w:left w:val="single" w:color="000000" w:sz="4" w:space="0"/>
              <w:right w:val="single" w:color="000000" w:sz="4" w:space="0"/>
            </w:tcBorders>
            <w:shd w:val="clear" w:color="auto" w:fill="auto"/>
            <w:vAlign w:val="center"/>
          </w:tcPr>
          <w:p w14:paraId="0E8F0D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推动业务装备建设规范化</w:t>
            </w:r>
          </w:p>
        </w:tc>
        <w:tc>
          <w:tcPr>
            <w:tcW w:w="515" w:type="dxa"/>
            <w:tcBorders>
              <w:top w:val="single" w:color="000000" w:sz="4" w:space="0"/>
              <w:left w:val="single" w:color="000000" w:sz="4" w:space="0"/>
              <w:right w:val="single" w:color="000000" w:sz="4" w:space="0"/>
            </w:tcBorders>
            <w:shd w:val="clear" w:color="auto" w:fill="auto"/>
            <w:vAlign w:val="center"/>
          </w:tcPr>
          <w:p w14:paraId="1C39A4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515" w:type="dxa"/>
            <w:tcBorders>
              <w:top w:val="single" w:color="000000" w:sz="4" w:space="0"/>
              <w:left w:val="single" w:color="000000" w:sz="4" w:space="0"/>
              <w:right w:val="single" w:color="000000" w:sz="4" w:space="0"/>
            </w:tcBorders>
            <w:shd w:val="clear" w:color="auto" w:fill="auto"/>
            <w:vAlign w:val="center"/>
          </w:tcPr>
          <w:p w14:paraId="1FB6E88D">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right w:val="single" w:color="000000" w:sz="4" w:space="0"/>
            </w:tcBorders>
            <w:shd w:val="clear" w:color="auto" w:fill="auto"/>
            <w:vAlign w:val="center"/>
          </w:tcPr>
          <w:p w14:paraId="531FD7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长期</w:t>
            </w:r>
          </w:p>
        </w:tc>
        <w:tc>
          <w:tcPr>
            <w:tcW w:w="532" w:type="dxa"/>
            <w:tcBorders>
              <w:top w:val="single" w:color="000000" w:sz="4" w:space="0"/>
              <w:left w:val="single" w:color="000000" w:sz="4" w:space="0"/>
              <w:right w:val="single" w:color="000000" w:sz="4" w:space="0"/>
            </w:tcBorders>
            <w:shd w:val="clear" w:color="auto" w:fill="auto"/>
            <w:vAlign w:val="center"/>
          </w:tcPr>
          <w:p w14:paraId="63E428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长期</w:t>
            </w:r>
          </w:p>
        </w:tc>
        <w:tc>
          <w:tcPr>
            <w:tcW w:w="883" w:type="dxa"/>
            <w:tcBorders>
              <w:top w:val="single" w:color="000000" w:sz="4" w:space="0"/>
              <w:left w:val="single" w:color="000000" w:sz="4" w:space="0"/>
              <w:right w:val="single" w:color="000000" w:sz="4" w:space="0"/>
            </w:tcBorders>
            <w:shd w:val="clear" w:color="auto" w:fill="auto"/>
            <w:vAlign w:val="center"/>
          </w:tcPr>
          <w:p w14:paraId="5EEBB296">
            <w:pPr>
              <w:jc w:val="center"/>
              <w:rPr>
                <w:rFonts w:hint="eastAsia" w:ascii="宋体" w:hAnsi="宋体" w:eastAsia="宋体" w:cs="宋体"/>
                <w:i w:val="0"/>
                <w:color w:val="000000"/>
                <w:sz w:val="18"/>
                <w:szCs w:val="18"/>
                <w:u w:val="none"/>
              </w:rPr>
            </w:pPr>
          </w:p>
        </w:tc>
        <w:tc>
          <w:tcPr>
            <w:tcW w:w="519" w:type="dxa"/>
            <w:tcBorders>
              <w:top w:val="single" w:color="000000" w:sz="4" w:space="0"/>
              <w:left w:val="single" w:color="000000" w:sz="4" w:space="0"/>
              <w:right w:val="single" w:color="000000" w:sz="4" w:space="0"/>
            </w:tcBorders>
            <w:shd w:val="clear" w:color="auto" w:fill="auto"/>
            <w:vAlign w:val="center"/>
          </w:tcPr>
          <w:p w14:paraId="362DA1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55" w:type="dxa"/>
            <w:tcBorders>
              <w:top w:val="single" w:color="000000" w:sz="4" w:space="0"/>
              <w:left w:val="single" w:color="000000" w:sz="4" w:space="0"/>
              <w:right w:val="single" w:color="000000" w:sz="4" w:space="0"/>
            </w:tcBorders>
            <w:shd w:val="clear" w:color="auto" w:fill="auto"/>
            <w:vAlign w:val="center"/>
          </w:tcPr>
          <w:p w14:paraId="72CB3A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78" w:type="dxa"/>
            <w:tcBorders>
              <w:top w:val="single" w:color="000000" w:sz="4" w:space="0"/>
              <w:left w:val="single" w:color="000000" w:sz="4" w:space="0"/>
              <w:right w:val="single" w:color="000000" w:sz="4" w:space="0"/>
            </w:tcBorders>
            <w:shd w:val="clear" w:color="auto" w:fill="auto"/>
            <w:vAlign w:val="center"/>
          </w:tcPr>
          <w:p w14:paraId="1B00F347">
            <w:pPr>
              <w:jc w:val="center"/>
              <w:rPr>
                <w:rFonts w:hint="eastAsia" w:ascii="宋体" w:hAnsi="宋体" w:eastAsia="宋体" w:cs="宋体"/>
                <w:i w:val="0"/>
                <w:color w:val="000000"/>
                <w:sz w:val="18"/>
                <w:szCs w:val="18"/>
                <w:u w:val="none"/>
              </w:rPr>
            </w:pPr>
          </w:p>
        </w:tc>
      </w:tr>
      <w:tr w14:paraId="191FC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871" w:type="dxa"/>
            <w:vMerge w:val="continue"/>
            <w:tcBorders>
              <w:top w:val="single" w:color="000000" w:sz="4" w:space="0"/>
              <w:left w:val="single" w:color="000000" w:sz="4" w:space="0"/>
              <w:right w:val="single" w:color="000000" w:sz="4" w:space="0"/>
            </w:tcBorders>
            <w:shd w:val="clear" w:color="auto" w:fill="auto"/>
            <w:vAlign w:val="center"/>
          </w:tcPr>
          <w:p w14:paraId="7F844FF8">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right w:val="single" w:color="000000" w:sz="4" w:space="0"/>
            </w:tcBorders>
            <w:shd w:val="clear" w:color="auto" w:fill="auto"/>
            <w:vAlign w:val="center"/>
          </w:tcPr>
          <w:p w14:paraId="2A726E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25" w:type="dxa"/>
            <w:tcBorders>
              <w:top w:val="single" w:color="000000" w:sz="4" w:space="0"/>
              <w:left w:val="single" w:color="000000" w:sz="4" w:space="0"/>
              <w:right w:val="single" w:color="000000" w:sz="4" w:space="0"/>
            </w:tcBorders>
            <w:shd w:val="clear" w:color="auto" w:fill="auto"/>
            <w:vAlign w:val="center"/>
          </w:tcPr>
          <w:p w14:paraId="63E8F2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830" w:type="dxa"/>
            <w:tcBorders>
              <w:top w:val="single" w:color="000000" w:sz="4" w:space="0"/>
              <w:left w:val="single" w:color="000000" w:sz="4" w:space="0"/>
              <w:right w:val="single" w:color="000000" w:sz="4" w:space="0"/>
            </w:tcBorders>
            <w:shd w:val="clear" w:color="auto" w:fill="auto"/>
            <w:vAlign w:val="center"/>
          </w:tcPr>
          <w:p w14:paraId="0548CC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干警满意度</w:t>
            </w:r>
          </w:p>
        </w:tc>
        <w:tc>
          <w:tcPr>
            <w:tcW w:w="515" w:type="dxa"/>
            <w:tcBorders>
              <w:top w:val="single" w:color="000000" w:sz="4" w:space="0"/>
              <w:left w:val="single" w:color="000000" w:sz="4" w:space="0"/>
              <w:right w:val="single" w:color="000000" w:sz="4" w:space="0"/>
            </w:tcBorders>
            <w:shd w:val="clear" w:color="auto" w:fill="auto"/>
            <w:vAlign w:val="center"/>
          </w:tcPr>
          <w:p w14:paraId="083CA1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515" w:type="dxa"/>
            <w:tcBorders>
              <w:top w:val="single" w:color="000000" w:sz="4" w:space="0"/>
              <w:left w:val="single" w:color="000000" w:sz="4" w:space="0"/>
              <w:right w:val="single" w:color="000000" w:sz="4" w:space="0"/>
            </w:tcBorders>
            <w:shd w:val="clear" w:color="auto" w:fill="auto"/>
            <w:vAlign w:val="center"/>
          </w:tcPr>
          <w:p w14:paraId="00F465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525" w:type="dxa"/>
            <w:tcBorders>
              <w:top w:val="single" w:color="000000" w:sz="4" w:space="0"/>
              <w:left w:val="single" w:color="000000" w:sz="4" w:space="0"/>
              <w:right w:val="single" w:color="000000" w:sz="4" w:space="0"/>
            </w:tcBorders>
            <w:shd w:val="clear" w:color="auto" w:fill="auto"/>
            <w:vAlign w:val="center"/>
          </w:tcPr>
          <w:p w14:paraId="114C2D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32" w:type="dxa"/>
            <w:tcBorders>
              <w:top w:val="single" w:color="000000" w:sz="4" w:space="0"/>
              <w:left w:val="single" w:color="000000" w:sz="4" w:space="0"/>
              <w:right w:val="single" w:color="000000" w:sz="4" w:space="0"/>
            </w:tcBorders>
            <w:shd w:val="clear" w:color="auto" w:fill="auto"/>
            <w:vAlign w:val="center"/>
          </w:tcPr>
          <w:p w14:paraId="47FB8D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883" w:type="dxa"/>
            <w:tcBorders>
              <w:top w:val="single" w:color="000000" w:sz="4" w:space="0"/>
              <w:left w:val="single" w:color="000000" w:sz="4" w:space="0"/>
              <w:right w:val="single" w:color="000000" w:sz="4" w:space="0"/>
            </w:tcBorders>
            <w:shd w:val="clear" w:color="auto" w:fill="auto"/>
            <w:vAlign w:val="center"/>
          </w:tcPr>
          <w:p w14:paraId="55D56B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19" w:type="dxa"/>
            <w:tcBorders>
              <w:top w:val="single" w:color="000000" w:sz="4" w:space="0"/>
              <w:left w:val="single" w:color="000000" w:sz="4" w:space="0"/>
              <w:right w:val="single" w:color="000000" w:sz="4" w:space="0"/>
            </w:tcBorders>
            <w:shd w:val="clear" w:color="auto" w:fill="auto"/>
            <w:vAlign w:val="center"/>
          </w:tcPr>
          <w:p w14:paraId="119E4A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55" w:type="dxa"/>
            <w:tcBorders>
              <w:top w:val="single" w:color="000000" w:sz="4" w:space="0"/>
              <w:left w:val="single" w:color="000000" w:sz="4" w:space="0"/>
              <w:right w:val="single" w:color="000000" w:sz="4" w:space="0"/>
            </w:tcBorders>
            <w:shd w:val="clear" w:color="auto" w:fill="auto"/>
            <w:vAlign w:val="center"/>
          </w:tcPr>
          <w:p w14:paraId="44B4F0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78" w:type="dxa"/>
            <w:tcBorders>
              <w:top w:val="single" w:color="000000" w:sz="4" w:space="0"/>
              <w:left w:val="single" w:color="000000" w:sz="4" w:space="0"/>
              <w:right w:val="single" w:color="000000" w:sz="4" w:space="0"/>
            </w:tcBorders>
            <w:shd w:val="clear" w:color="auto" w:fill="auto"/>
            <w:vAlign w:val="center"/>
          </w:tcPr>
          <w:p w14:paraId="498F82D9">
            <w:pPr>
              <w:jc w:val="center"/>
              <w:rPr>
                <w:rFonts w:hint="eastAsia" w:ascii="宋体" w:hAnsi="宋体" w:eastAsia="宋体" w:cs="宋体"/>
                <w:i w:val="0"/>
                <w:color w:val="000000"/>
                <w:sz w:val="18"/>
                <w:szCs w:val="18"/>
                <w:u w:val="none"/>
              </w:rPr>
            </w:pPr>
          </w:p>
        </w:tc>
      </w:tr>
      <w:tr w14:paraId="497E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60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2EE84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E0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98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99.62</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7697">
            <w:pPr>
              <w:jc w:val="center"/>
              <w:rPr>
                <w:rFonts w:hint="eastAsia" w:ascii="宋体" w:hAnsi="宋体" w:eastAsia="宋体" w:cs="宋体"/>
                <w:i w:val="0"/>
                <w:color w:val="000000"/>
                <w:sz w:val="18"/>
                <w:szCs w:val="18"/>
                <w:u w:val="none"/>
              </w:rPr>
            </w:pPr>
          </w:p>
        </w:tc>
      </w:tr>
    </w:tbl>
    <w:p w14:paraId="65FB29C7">
      <w:pPr>
        <w:pStyle w:val="30"/>
        <w:keepNext w:val="0"/>
        <w:keepLines w:val="0"/>
        <w:pageBreakBefore w:val="0"/>
        <w:widowControl/>
        <w:kinsoku/>
        <w:wordWrap/>
        <w:overflowPunct/>
        <w:topLinePunct w:val="0"/>
        <w:autoSpaceDE/>
        <w:autoSpaceDN/>
        <w:bidi w:val="0"/>
        <w:spacing w:line="576" w:lineRule="exact"/>
        <w:ind w:right="0" w:rightChars="0"/>
        <w:jc w:val="left"/>
        <w:textAlignment w:val="auto"/>
        <w:rPr>
          <w:rFonts w:ascii="Times New Roman" w:hAnsi="Times New Roman" w:eastAsia="Times New Roman" w:cs="Times New Roman"/>
          <w:kern w:val="0"/>
          <w:sz w:val="24"/>
        </w:rPr>
      </w:pPr>
    </w:p>
    <w:p w14:paraId="36CBBAC2">
      <w:pPr>
        <w:pStyle w:val="30"/>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（三）部门项目绩效评价结果。</w:t>
      </w:r>
    </w:p>
    <w:p w14:paraId="328C8962">
      <w:pPr>
        <w:pStyle w:val="30"/>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jc w:val="left"/>
        <w:textAlignment w:val="auto"/>
        <w:rPr>
          <w:rFonts w:ascii="Times New Roman" w:hAnsi="Times New Roman" w:eastAsia="Times New Roman" w:cs="Times New Roman"/>
          <w:kern w:val="0"/>
          <w:sz w:val="24"/>
        </w:rPr>
      </w:pPr>
      <w:r>
        <w:rPr>
          <w:rFonts w:hint="eastAsia" w:ascii="仿宋_GB2312" w:hAnsi="仿宋_GB2312" w:eastAsia="仿宋_GB2312" w:cs="仿宋_GB2312"/>
          <w:color w:val="auto"/>
          <w:spacing w:val="6"/>
          <w:kern w:val="0"/>
          <w:sz w:val="32"/>
          <w:szCs w:val="32"/>
          <w:lang w:val="en-US" w:eastAsia="zh-CN" w:bidi="ar-SA"/>
        </w:rPr>
        <w:t>以办案（业务）经费项目为例，该项目绩效评价综合得分为100分，绩效评价结果为“优”。部门项目绩效评价得分情况详见部门（单位）具体绩效评价结果。</w:t>
      </w:r>
    </w:p>
    <w:p w14:paraId="708E5A62">
      <w:pPr>
        <w:pStyle w:val="4"/>
        <w:pageBreakBefore w:val="0"/>
        <w:widowControl w:val="0"/>
        <w:kinsoku/>
        <w:wordWrap/>
        <w:overflowPunct/>
        <w:autoSpaceDE/>
        <w:autoSpaceDN/>
        <w:bidi w:val="0"/>
        <w:adjustRightInd/>
        <w:snapToGrid/>
        <w:spacing w:before="0" w:after="0" w:line="560" w:lineRule="exact"/>
        <w:ind w:left="0" w:leftChars="0" w:right="0" w:rightChars="0" w:firstLine="640" w:firstLineChars="200"/>
        <w:textAlignment w:val="auto"/>
        <w:rPr>
          <w:rFonts w:hint="eastAsia" w:ascii="仿宋_GB2312" w:hAnsi="方正仿宋_GBK" w:eastAsia="仿宋_GB2312" w:cs="方正仿宋_GBK"/>
          <w:b w:val="0"/>
          <w:bCs w:val="0"/>
          <w:color w:val="000000"/>
          <w:kern w:val="2"/>
          <w:sz w:val="32"/>
          <w:szCs w:val="32"/>
          <w:lang w:val="en-US" w:eastAsia="zh-CN" w:bidi="ar-SA"/>
        </w:rPr>
      </w:pPr>
      <w:r>
        <w:rPr>
          <w:rFonts w:hint="eastAsia" w:ascii="仿宋_GB2312" w:hAnsi="方正仿宋_GBK" w:eastAsia="仿宋_GB2312" w:cs="方正仿宋_GBK"/>
          <w:b w:val="0"/>
          <w:bCs w:val="0"/>
          <w:color w:val="000000"/>
          <w:kern w:val="2"/>
          <w:sz w:val="32"/>
          <w:szCs w:val="32"/>
          <w:lang w:val="en-US" w:eastAsia="zh-CN" w:bidi="ar-SA"/>
        </w:rPr>
        <w:t>1、基本情况</w:t>
      </w:r>
    </w:p>
    <w:p w14:paraId="3FFE2692">
      <w:pPr>
        <w:pageBreakBefore w:val="0"/>
        <w:tabs>
          <w:tab w:val="left" w:pos="420"/>
        </w:tabs>
        <w:kinsoku/>
        <w:wordWrap/>
        <w:overflowPunct/>
        <w:topLinePunct/>
        <w:autoSpaceDE/>
        <w:autoSpaceDN/>
        <w:bidi w:val="0"/>
        <w:adjustRightInd/>
        <w:snapToGrid/>
        <w:spacing w:line="560" w:lineRule="exact"/>
        <w:ind w:right="0" w:rightChars="0" w:firstLine="640" w:firstLineChars="200"/>
        <w:textAlignment w:val="auto"/>
        <w:outlineLvl w:val="0"/>
        <w:rPr>
          <w:rFonts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w:t>
      </w:r>
      <w:r>
        <w:rPr>
          <w:rFonts w:hint="eastAsia" w:ascii="仿宋_GB2312" w:hAnsi="方正仿宋_GBK" w:eastAsia="仿宋_GB2312" w:cs="方正仿宋_GBK"/>
          <w:color w:val="000000"/>
          <w:sz w:val="32"/>
          <w:szCs w:val="32"/>
          <w:lang w:val="en-US" w:eastAsia="zh-CN"/>
        </w:rPr>
        <w:t>1</w:t>
      </w:r>
      <w:r>
        <w:rPr>
          <w:rFonts w:hint="eastAsia" w:ascii="仿宋_GB2312" w:hAnsi="方正仿宋_GBK" w:eastAsia="仿宋_GB2312" w:cs="方正仿宋_GBK"/>
          <w:color w:val="000000"/>
          <w:sz w:val="32"/>
          <w:szCs w:val="32"/>
        </w:rPr>
        <w:t>）项目概况。</w:t>
      </w:r>
      <w:r>
        <w:rPr>
          <w:rFonts w:hint="eastAsia" w:ascii="仿宋_GB2312" w:hAnsi="方正仿宋_GBK" w:eastAsia="仿宋_GB2312" w:cs="方正仿宋_GBK"/>
          <w:color w:val="000000"/>
          <w:sz w:val="32"/>
          <w:szCs w:val="32"/>
          <w:lang w:eastAsia="zh-CN"/>
        </w:rPr>
        <w:t>项目背景：为保障各项检察职能依法有序履行。保障一线办案日常运转需求，设立办案</w:t>
      </w:r>
      <w:r>
        <w:rPr>
          <w:rFonts w:hint="eastAsia" w:ascii="FangSong_GB2312" w:hAnsi="FangSong_GB2312" w:eastAsia="FangSong_GB2312" w:cs="FangSong_GB2312"/>
          <w:kern w:val="0"/>
          <w:sz w:val="32"/>
          <w:szCs w:val="32"/>
        </w:rPr>
        <w:t>（业务）</w:t>
      </w:r>
      <w:r>
        <w:rPr>
          <w:rFonts w:hint="eastAsia" w:ascii="仿宋_GB2312" w:hAnsi="方正仿宋_GBK" w:eastAsia="仿宋_GB2312" w:cs="方正仿宋_GBK"/>
          <w:color w:val="000000"/>
          <w:sz w:val="32"/>
          <w:szCs w:val="32"/>
          <w:lang w:eastAsia="zh-CN"/>
        </w:rPr>
        <w:t>经费项目。主要内容及实施情况：经费用于保障日常办案支出。</w:t>
      </w:r>
      <w:r>
        <w:rPr>
          <w:rFonts w:hint="eastAsia" w:ascii="仿宋_GB2312" w:hAnsi="方正仿宋_GBK" w:eastAsia="仿宋_GB2312" w:cs="方正仿宋_GBK"/>
          <w:color w:val="000000"/>
          <w:sz w:val="32"/>
          <w:szCs w:val="32"/>
          <w:lang w:val="en-US" w:eastAsia="zh-CN"/>
        </w:rPr>
        <w:t>2025年项目正常实施，全部用于检察业务保障，有序完成年度各类案件办理工作。资金投入和使用情况：项目年初预算138.5万元，全年实际执行145.28万元，预算执行率104.89%，资金全部用于办案业务相关支出，资金管理规范，专款专用。</w:t>
      </w:r>
    </w:p>
    <w:p w14:paraId="3623397C">
      <w:pPr>
        <w:pageBreakBefore w:val="0"/>
        <w:kinsoku/>
        <w:wordWrap/>
        <w:overflowPunct/>
        <w:topLinePunct/>
        <w:autoSpaceDE/>
        <w:autoSpaceDN/>
        <w:bidi w:val="0"/>
        <w:adjustRightInd/>
        <w:snapToGrid/>
        <w:spacing w:line="560" w:lineRule="exact"/>
        <w:ind w:right="0" w:rightChars="0" w:firstLine="640" w:firstLineChars="200"/>
        <w:textAlignment w:val="auto"/>
        <w:rPr>
          <w:rFonts w:hint="eastAsia"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w:t>
      </w:r>
      <w:r>
        <w:rPr>
          <w:rFonts w:hint="eastAsia" w:ascii="仿宋_GB2312" w:hAnsi="方正仿宋_GBK" w:eastAsia="仿宋_GB2312" w:cs="方正仿宋_GBK"/>
          <w:color w:val="000000"/>
          <w:sz w:val="32"/>
          <w:szCs w:val="32"/>
          <w:lang w:val="en-US" w:eastAsia="zh-CN"/>
        </w:rPr>
        <w:t>2</w:t>
      </w:r>
      <w:r>
        <w:rPr>
          <w:rFonts w:hint="eastAsia" w:ascii="仿宋_GB2312" w:hAnsi="方正仿宋_GBK" w:eastAsia="仿宋_GB2312" w:cs="方正仿宋_GBK"/>
          <w:color w:val="000000"/>
          <w:sz w:val="32"/>
          <w:szCs w:val="32"/>
        </w:rPr>
        <w:t>）项目绩效目标。总体目标</w:t>
      </w:r>
      <w:r>
        <w:rPr>
          <w:rFonts w:hint="eastAsia" w:ascii="仿宋_GB2312" w:hAnsi="方正仿宋_GBK" w:eastAsia="仿宋_GB2312" w:cs="方正仿宋_GBK"/>
          <w:color w:val="000000"/>
          <w:sz w:val="32"/>
          <w:szCs w:val="32"/>
          <w:lang w:eastAsia="zh-CN"/>
        </w:rPr>
        <w:t>：足额保障全院各项检察业务开展所需经费，持续提升案件办理质效，规范履职流程，保障各类案件依法高效办理。</w:t>
      </w:r>
      <w:r>
        <w:rPr>
          <w:rFonts w:hint="eastAsia" w:ascii="仿宋_GB2312" w:hAnsi="方正仿宋_GBK" w:eastAsia="仿宋_GB2312" w:cs="方正仿宋_GBK"/>
          <w:color w:val="000000"/>
          <w:sz w:val="32"/>
          <w:szCs w:val="32"/>
        </w:rPr>
        <w:t>阶段性目标</w:t>
      </w:r>
      <w:r>
        <w:rPr>
          <w:rFonts w:hint="eastAsia" w:ascii="仿宋_GB2312" w:hAnsi="方正仿宋_GBK" w:eastAsia="仿宋_GB2312" w:cs="方正仿宋_GBK"/>
          <w:color w:val="000000"/>
          <w:sz w:val="32"/>
          <w:szCs w:val="32"/>
          <w:lang w:eastAsia="zh-CN"/>
        </w:rPr>
        <w:t>：保障年度全部在办案件顺利开展工作；规范经费支出管理，提高财政资金使用规范性与使用效益；保障办案流程不间断运行，按时办结各类案件。</w:t>
      </w:r>
    </w:p>
    <w:p w14:paraId="5A37B84E">
      <w:pPr>
        <w:pageBreakBefore w:val="0"/>
        <w:kinsoku/>
        <w:wordWrap/>
        <w:overflowPunct/>
        <w:topLinePunct/>
        <w:autoSpaceDE/>
        <w:autoSpaceDN/>
        <w:bidi w:val="0"/>
        <w:adjustRightInd/>
        <w:snapToGrid/>
        <w:spacing w:line="560" w:lineRule="exact"/>
        <w:ind w:right="0" w:rightChars="0" w:firstLine="640" w:firstLineChars="200"/>
        <w:textAlignment w:val="auto"/>
        <w:rPr>
          <w:rFonts w:hint="eastAsia" w:ascii="仿宋_GB2312" w:hAnsi="方正仿宋_GBK" w:eastAsia="仿宋_GB2312" w:cs="方正仿宋_GBK"/>
          <w:color w:val="000000"/>
          <w:sz w:val="32"/>
          <w:szCs w:val="32"/>
          <w:lang w:val="en-US" w:eastAsia="zh-CN"/>
        </w:rPr>
      </w:pPr>
      <w:r>
        <w:rPr>
          <w:rFonts w:hint="eastAsia" w:ascii="仿宋_GB2312" w:hAnsi="方正仿宋_GBK" w:eastAsia="仿宋_GB2312" w:cs="方正仿宋_GBK"/>
          <w:color w:val="000000"/>
          <w:sz w:val="32"/>
          <w:szCs w:val="32"/>
          <w:lang w:val="en-US" w:eastAsia="zh-CN"/>
        </w:rPr>
        <w:t>2、绩效评价工作开展情况</w:t>
      </w:r>
    </w:p>
    <w:p w14:paraId="5A565C4D">
      <w:pPr>
        <w:pageBreakBefore w:val="0"/>
        <w:kinsoku/>
        <w:wordWrap/>
        <w:overflowPunct/>
        <w:topLinePunct/>
        <w:autoSpaceDE/>
        <w:autoSpaceDN/>
        <w:bidi w:val="0"/>
        <w:adjustRightInd/>
        <w:snapToGrid/>
        <w:spacing w:line="560" w:lineRule="exact"/>
        <w:ind w:left="99" w:right="0" w:rightChars="0" w:hanging="99" w:hangingChars="31"/>
        <w:textAlignment w:val="auto"/>
        <w:rPr>
          <w:rFonts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 xml:space="preserve">    （</w:t>
      </w:r>
      <w:r>
        <w:rPr>
          <w:rFonts w:hint="eastAsia" w:ascii="仿宋_GB2312" w:hAnsi="方正仿宋_GBK" w:eastAsia="仿宋_GB2312" w:cs="方正仿宋_GBK"/>
          <w:color w:val="000000"/>
          <w:sz w:val="32"/>
          <w:szCs w:val="32"/>
          <w:lang w:val="en-US" w:eastAsia="zh-CN"/>
        </w:rPr>
        <w:t>1</w:t>
      </w:r>
      <w:r>
        <w:rPr>
          <w:rFonts w:hint="eastAsia" w:ascii="仿宋_GB2312" w:hAnsi="方正仿宋_GBK" w:eastAsia="仿宋_GB2312" w:cs="方正仿宋_GBK"/>
          <w:color w:val="000000"/>
          <w:sz w:val="32"/>
          <w:szCs w:val="32"/>
        </w:rPr>
        <w:t>）绩效评价目的</w:t>
      </w:r>
      <w:r>
        <w:rPr>
          <w:rFonts w:hint="eastAsia" w:ascii="仿宋_GB2312" w:hAnsi="方正仿宋_GBK" w:eastAsia="仿宋_GB2312" w:cs="方正仿宋_GBK"/>
          <w:color w:val="000000"/>
          <w:sz w:val="32"/>
          <w:szCs w:val="32"/>
          <w:lang w:eastAsia="zh-CN"/>
        </w:rPr>
        <w:t>：全面核查项目资金投入、管理使用及绩效目标实现程度，客观评价资金使用效益；提升检察业务经费科学化</w:t>
      </w:r>
      <w:r>
        <w:rPr>
          <w:rFonts w:hint="eastAsia" w:ascii="仿宋_GB2312" w:hAnsi="方正仿宋_GBK" w:eastAsia="仿宋_GB2312" w:cs="方正仿宋_GBK"/>
          <w:color w:val="000000"/>
          <w:sz w:val="32"/>
          <w:szCs w:val="32"/>
        </w:rPr>
        <w:t>、</w:t>
      </w:r>
      <w:r>
        <w:rPr>
          <w:rFonts w:hint="eastAsia" w:ascii="仿宋_GB2312" w:hAnsi="方正仿宋_GBK" w:eastAsia="仿宋_GB2312" w:cs="方正仿宋_GBK"/>
          <w:color w:val="000000"/>
          <w:sz w:val="32"/>
          <w:szCs w:val="32"/>
          <w:lang w:eastAsia="zh-CN"/>
        </w:rPr>
        <w:t>精细化管理水平，保障检察职能高效履行。评价</w:t>
      </w:r>
      <w:r>
        <w:rPr>
          <w:rFonts w:hint="eastAsia" w:ascii="仿宋_GB2312" w:hAnsi="方正仿宋_GBK" w:eastAsia="仿宋_GB2312" w:cs="方正仿宋_GBK"/>
          <w:color w:val="000000"/>
          <w:sz w:val="32"/>
          <w:szCs w:val="32"/>
        </w:rPr>
        <w:t>对象</w:t>
      </w:r>
      <w:r>
        <w:rPr>
          <w:rFonts w:hint="eastAsia" w:ascii="仿宋_GB2312" w:hAnsi="方正仿宋_GBK" w:eastAsia="仿宋_GB2312" w:cs="方正仿宋_GBK"/>
          <w:color w:val="000000"/>
          <w:sz w:val="32"/>
          <w:szCs w:val="32"/>
          <w:lang w:eastAsia="zh-CN"/>
        </w:rPr>
        <w:t>：</w:t>
      </w:r>
      <w:r>
        <w:rPr>
          <w:rFonts w:hint="eastAsia" w:ascii="仿宋_GB2312" w:hAnsi="方正仿宋_GBK" w:eastAsia="仿宋_GB2312" w:cs="方正仿宋_GBK"/>
          <w:color w:val="000000"/>
          <w:sz w:val="32"/>
          <w:szCs w:val="32"/>
          <w:lang w:val="en-US" w:eastAsia="zh-CN"/>
        </w:rPr>
        <w:t>2025年度</w:t>
      </w:r>
      <w:r>
        <w:rPr>
          <w:rFonts w:hint="eastAsia" w:ascii="仿宋_GB2312" w:hAnsi="仿宋_GB2312" w:eastAsia="仿宋_GB2312" w:cs="仿宋_GB2312"/>
          <w:color w:val="auto"/>
          <w:spacing w:val="6"/>
          <w:kern w:val="0"/>
          <w:sz w:val="32"/>
          <w:szCs w:val="32"/>
          <w:lang w:val="en-US" w:eastAsia="zh-CN" w:bidi="ar-SA"/>
        </w:rPr>
        <w:t>办案（业务）经费项目。评价</w:t>
      </w:r>
      <w:r>
        <w:rPr>
          <w:rFonts w:hint="eastAsia" w:ascii="仿宋_GB2312" w:hAnsi="方正仿宋_GBK" w:eastAsia="仿宋_GB2312" w:cs="方正仿宋_GBK"/>
          <w:color w:val="000000"/>
          <w:sz w:val="32"/>
          <w:szCs w:val="32"/>
        </w:rPr>
        <w:t>范围</w:t>
      </w:r>
      <w:r>
        <w:rPr>
          <w:rFonts w:hint="eastAsia" w:ascii="仿宋_GB2312" w:hAnsi="方正仿宋_GBK" w:eastAsia="仿宋_GB2312" w:cs="方正仿宋_GBK"/>
          <w:color w:val="000000"/>
          <w:sz w:val="32"/>
          <w:szCs w:val="32"/>
          <w:lang w:eastAsia="zh-CN"/>
        </w:rPr>
        <w:t>：</w:t>
      </w:r>
      <w:r>
        <w:rPr>
          <w:rFonts w:hint="eastAsia" w:ascii="仿宋_GB2312" w:hAnsi="方正仿宋_GBK" w:eastAsia="仿宋_GB2312" w:cs="方正仿宋_GBK"/>
          <w:color w:val="000000"/>
          <w:sz w:val="32"/>
          <w:szCs w:val="32"/>
          <w:lang w:val="en-US" w:eastAsia="zh-CN"/>
        </w:rPr>
        <w:t>2025年项目预算资金138.5万元，实际支出145.28万元资金的审批、拨付、使用管理全过程；项目年度绩效目标落实、业务产出、社会效益实现情况</w:t>
      </w:r>
      <w:r>
        <w:rPr>
          <w:rFonts w:hint="eastAsia" w:ascii="仿宋_GB2312" w:hAnsi="方正仿宋_GBK" w:eastAsia="仿宋_GB2312" w:cs="方正仿宋_GBK"/>
          <w:color w:val="000000"/>
          <w:sz w:val="32"/>
          <w:szCs w:val="32"/>
        </w:rPr>
        <w:t>。</w:t>
      </w:r>
    </w:p>
    <w:p w14:paraId="685AADAC">
      <w:pPr>
        <w:pageBreakBefore w:val="0"/>
        <w:kinsoku/>
        <w:wordWrap/>
        <w:overflowPunct/>
        <w:topLinePunct/>
        <w:autoSpaceDE/>
        <w:autoSpaceDN/>
        <w:bidi w:val="0"/>
        <w:adjustRightInd/>
        <w:snapToGrid/>
        <w:spacing w:line="560" w:lineRule="exact"/>
        <w:ind w:left="99" w:right="0" w:rightChars="0" w:hanging="99" w:hangingChars="31"/>
        <w:textAlignment w:val="auto"/>
        <w:rPr>
          <w:rFonts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 xml:space="preserve">    （</w:t>
      </w:r>
      <w:r>
        <w:rPr>
          <w:rFonts w:hint="eastAsia" w:ascii="仿宋_GB2312" w:hAnsi="方正仿宋_GBK" w:eastAsia="仿宋_GB2312" w:cs="方正仿宋_GBK"/>
          <w:color w:val="000000"/>
          <w:sz w:val="32"/>
          <w:szCs w:val="32"/>
          <w:lang w:val="en-US" w:eastAsia="zh-CN"/>
        </w:rPr>
        <w:t>2</w:t>
      </w:r>
      <w:r>
        <w:rPr>
          <w:rFonts w:hint="eastAsia" w:ascii="仿宋_GB2312" w:hAnsi="方正仿宋_GBK" w:eastAsia="仿宋_GB2312" w:cs="方正仿宋_GBK"/>
          <w:color w:val="000000"/>
          <w:sz w:val="32"/>
          <w:szCs w:val="32"/>
        </w:rPr>
        <w:t>）绩效评价原则</w:t>
      </w:r>
      <w:r>
        <w:rPr>
          <w:rFonts w:hint="eastAsia" w:ascii="仿宋_GB2312" w:hAnsi="方正仿宋_GBK" w:eastAsia="仿宋_GB2312" w:cs="方正仿宋_GBK"/>
          <w:color w:val="000000"/>
          <w:sz w:val="32"/>
          <w:szCs w:val="32"/>
          <w:lang w:eastAsia="zh-CN"/>
        </w:rPr>
        <w:t>：遵循科学规范、客观公正、绩效导向、实事求是的原则，坚持定量与定性相结合。</w:t>
      </w:r>
      <w:r>
        <w:rPr>
          <w:rFonts w:hint="eastAsia" w:ascii="仿宋_GB2312" w:hAnsi="方正仿宋_GBK" w:eastAsia="仿宋_GB2312" w:cs="方正仿宋_GBK"/>
          <w:color w:val="000000"/>
          <w:sz w:val="32"/>
          <w:szCs w:val="32"/>
        </w:rPr>
        <w:t>评价指标体系</w:t>
      </w:r>
      <w:r>
        <w:rPr>
          <w:rFonts w:hint="eastAsia" w:ascii="仿宋_GB2312" w:hAnsi="方正仿宋_GBK" w:eastAsia="仿宋_GB2312" w:cs="方正仿宋_GBK"/>
          <w:color w:val="000000"/>
          <w:sz w:val="32"/>
          <w:szCs w:val="32"/>
          <w:lang w:eastAsia="zh-CN"/>
        </w:rPr>
        <w:t>：参照财政绩效评价规范设置指标框架，包含产出指标、效益指标、服务对象满意度指标三大维度</w:t>
      </w:r>
      <w:r>
        <w:rPr>
          <w:rFonts w:hint="eastAsia" w:ascii="仿宋_GB2312" w:hAnsi="方正仿宋_GBK" w:eastAsia="仿宋_GB2312" w:cs="方正仿宋_GBK"/>
          <w:color w:val="000000"/>
          <w:sz w:val="32"/>
          <w:szCs w:val="32"/>
          <w:lang w:val="en-US" w:eastAsia="zh-CN"/>
        </w:rPr>
        <w:t>。</w:t>
      </w:r>
      <w:r>
        <w:rPr>
          <w:rFonts w:hint="eastAsia" w:ascii="仿宋_GB2312" w:hAnsi="方正仿宋_GBK" w:eastAsia="仿宋_GB2312" w:cs="方正仿宋_GBK"/>
          <w:color w:val="000000"/>
          <w:sz w:val="32"/>
          <w:szCs w:val="32"/>
        </w:rPr>
        <w:t>评价方法</w:t>
      </w:r>
      <w:r>
        <w:rPr>
          <w:rFonts w:hint="eastAsia" w:ascii="仿宋_GB2312" w:hAnsi="方正仿宋_GBK" w:eastAsia="仿宋_GB2312" w:cs="方正仿宋_GBK"/>
          <w:color w:val="000000"/>
          <w:sz w:val="32"/>
          <w:szCs w:val="32"/>
          <w:lang w:eastAsia="zh-CN"/>
        </w:rPr>
        <w:t>：对照年初绩效目标，对比预算与实际执行情况，综合研判目标完成水平。</w:t>
      </w:r>
      <w:r>
        <w:rPr>
          <w:rFonts w:hint="eastAsia" w:ascii="仿宋_GB2312" w:hAnsi="方正仿宋_GBK" w:eastAsia="仿宋_GB2312" w:cs="方正仿宋_GBK"/>
          <w:color w:val="000000"/>
          <w:sz w:val="32"/>
          <w:szCs w:val="32"/>
        </w:rPr>
        <w:t>评价标准</w:t>
      </w:r>
      <w:r>
        <w:rPr>
          <w:rFonts w:hint="eastAsia" w:ascii="仿宋_GB2312" w:hAnsi="方正仿宋_GBK" w:eastAsia="仿宋_GB2312" w:cs="方正仿宋_GBK"/>
          <w:color w:val="000000"/>
          <w:sz w:val="32"/>
          <w:szCs w:val="32"/>
          <w:lang w:eastAsia="zh-CN"/>
        </w:rPr>
        <w:t>：以财政部门绩效评价管理规定、项目年初申报绩效目标、检察业务工作规范为评价标准，逐项对照指标完成情况进行打分</w:t>
      </w:r>
      <w:r>
        <w:rPr>
          <w:rFonts w:hint="eastAsia" w:ascii="仿宋_GB2312" w:hAnsi="方正仿宋_GBK" w:eastAsia="仿宋_GB2312" w:cs="方正仿宋_GBK"/>
          <w:color w:val="000000"/>
          <w:sz w:val="32"/>
          <w:szCs w:val="32"/>
        </w:rPr>
        <w:t>。</w:t>
      </w:r>
    </w:p>
    <w:p w14:paraId="74114437">
      <w:pPr>
        <w:pageBreakBefore w:val="0"/>
        <w:kinsoku/>
        <w:wordWrap/>
        <w:overflowPunct/>
        <w:topLinePunct/>
        <w:autoSpaceDE/>
        <w:autoSpaceDN/>
        <w:bidi w:val="0"/>
        <w:adjustRightInd/>
        <w:snapToGrid/>
        <w:spacing w:line="560" w:lineRule="exact"/>
        <w:ind w:left="99" w:right="0" w:rightChars="0" w:hanging="99" w:hangingChars="31"/>
        <w:textAlignment w:val="auto"/>
        <w:rPr>
          <w:rFonts w:hint="default" w:ascii="Times New Roman Regular" w:hAnsi="Times New Roman Regular" w:eastAsia="仿宋" w:cs="Times New Roman Regular"/>
          <w:kern w:val="2"/>
          <w:sz w:val="32"/>
          <w:szCs w:val="32"/>
        </w:rPr>
      </w:pPr>
      <w:r>
        <w:rPr>
          <w:rFonts w:hint="eastAsia" w:ascii="仿宋_GB2312" w:hAnsi="方正仿宋_GBK" w:eastAsia="仿宋_GB2312" w:cs="方正仿宋_GBK"/>
          <w:color w:val="000000"/>
          <w:sz w:val="32"/>
          <w:szCs w:val="32"/>
        </w:rPr>
        <w:t xml:space="preserve">    （</w:t>
      </w:r>
      <w:r>
        <w:rPr>
          <w:rFonts w:hint="eastAsia" w:ascii="仿宋_GB2312" w:hAnsi="方正仿宋_GBK" w:eastAsia="仿宋_GB2312" w:cs="方正仿宋_GBK"/>
          <w:color w:val="000000"/>
          <w:sz w:val="32"/>
          <w:szCs w:val="32"/>
          <w:lang w:val="en-US" w:eastAsia="zh-CN"/>
        </w:rPr>
        <w:t>3</w:t>
      </w:r>
      <w:r>
        <w:rPr>
          <w:rFonts w:hint="eastAsia" w:ascii="仿宋_GB2312" w:hAnsi="方正仿宋_GBK" w:eastAsia="仿宋_GB2312" w:cs="方正仿宋_GBK"/>
          <w:color w:val="000000"/>
          <w:sz w:val="32"/>
          <w:szCs w:val="32"/>
        </w:rPr>
        <w:t>）绩效评价工作过程。前期准备</w:t>
      </w:r>
      <w:r>
        <w:rPr>
          <w:rFonts w:hint="eastAsia" w:ascii="仿宋_GB2312" w:hAnsi="方正仿宋_GBK" w:eastAsia="仿宋_GB2312" w:cs="方正仿宋_GBK"/>
          <w:color w:val="000000"/>
          <w:sz w:val="32"/>
          <w:szCs w:val="32"/>
          <w:lang w:eastAsia="zh-CN"/>
        </w:rPr>
        <w:t>：成立绩效自评小组、收集办案数据等基础资料，梳理评价要点。</w:t>
      </w:r>
      <w:r>
        <w:rPr>
          <w:rFonts w:hint="eastAsia" w:ascii="仿宋_GB2312" w:hAnsi="方正仿宋_GBK" w:eastAsia="仿宋_GB2312" w:cs="方正仿宋_GBK"/>
          <w:color w:val="000000"/>
          <w:sz w:val="32"/>
          <w:szCs w:val="32"/>
        </w:rPr>
        <w:t>组织实施和评价分析</w:t>
      </w:r>
      <w:r>
        <w:rPr>
          <w:rFonts w:hint="eastAsia" w:ascii="仿宋_GB2312" w:hAnsi="方正仿宋_GBK" w:eastAsia="仿宋_GB2312" w:cs="方正仿宋_GBK"/>
          <w:color w:val="000000"/>
          <w:sz w:val="32"/>
          <w:szCs w:val="32"/>
          <w:lang w:eastAsia="zh-CN"/>
        </w:rPr>
        <w:t>：对照绩效指标逐项核验资料，对比目标值与实际完成值，形成初步评价意见。</w:t>
      </w:r>
      <w:r>
        <w:rPr>
          <w:rFonts w:hint="eastAsia" w:ascii="仿宋_GB2312" w:hAnsi="方正仿宋_GBK" w:eastAsia="仿宋_GB2312" w:cs="方正仿宋_GBK"/>
          <w:color w:val="000000"/>
          <w:sz w:val="32"/>
          <w:szCs w:val="32"/>
        </w:rPr>
        <w:t>沟通反馈</w:t>
      </w:r>
      <w:r>
        <w:rPr>
          <w:rFonts w:hint="eastAsia" w:ascii="仿宋_GB2312" w:hAnsi="方正仿宋_GBK" w:eastAsia="仿宋_GB2312" w:cs="方正仿宋_GBK"/>
          <w:color w:val="000000"/>
          <w:sz w:val="32"/>
          <w:szCs w:val="32"/>
          <w:lang w:eastAsia="zh-CN"/>
        </w:rPr>
        <w:t>：自评小组与各部门开展沟通核实，对指标完成情况交换意见，确定最终自评得分与评价结论，形成绩效自评材料</w:t>
      </w:r>
      <w:r>
        <w:rPr>
          <w:rFonts w:hint="eastAsia" w:ascii="仿宋_GB2312" w:hAnsi="方正仿宋_GBK" w:eastAsia="仿宋_GB2312" w:cs="方正仿宋_GBK"/>
          <w:color w:val="000000"/>
          <w:sz w:val="32"/>
          <w:szCs w:val="32"/>
        </w:rPr>
        <w:t>。</w:t>
      </w:r>
    </w:p>
    <w:p w14:paraId="3FEB3774">
      <w:pPr>
        <w:pageBreakBefore w:val="0"/>
        <w:kinsoku/>
        <w:wordWrap/>
        <w:overflowPunct/>
        <w:topLinePunct/>
        <w:autoSpaceDE/>
        <w:autoSpaceDN/>
        <w:bidi w:val="0"/>
        <w:adjustRightInd/>
        <w:snapToGrid/>
        <w:spacing w:line="560" w:lineRule="exact"/>
        <w:ind w:left="319" w:leftChars="152" w:right="0" w:rightChars="0" w:firstLine="537" w:firstLineChars="168"/>
        <w:textAlignment w:val="auto"/>
        <w:rPr>
          <w:rFonts w:hint="eastAsia" w:ascii="仿宋_GB2312" w:hAnsi="方正仿宋_GBK" w:eastAsia="仿宋_GB2312" w:cs="方正仿宋_GBK"/>
          <w:color w:val="000000"/>
          <w:sz w:val="32"/>
          <w:szCs w:val="32"/>
          <w:lang w:eastAsia="zh-CN"/>
        </w:rPr>
      </w:pPr>
      <w:r>
        <w:rPr>
          <w:rFonts w:hint="eastAsia" w:ascii="仿宋_GB2312" w:hAnsi="方正仿宋_GBK" w:eastAsia="仿宋_GB2312" w:cs="方正仿宋_GBK"/>
          <w:color w:val="000000"/>
          <w:sz w:val="32"/>
          <w:szCs w:val="32"/>
          <w:lang w:val="en-US" w:eastAsia="zh-CN"/>
        </w:rPr>
        <w:t>3、</w:t>
      </w:r>
      <w:r>
        <w:rPr>
          <w:rFonts w:hint="eastAsia" w:ascii="仿宋_GB2312" w:hAnsi="方正仿宋_GBK" w:eastAsia="仿宋_GB2312" w:cs="方正仿宋_GBK"/>
          <w:color w:val="000000"/>
          <w:sz w:val="32"/>
          <w:szCs w:val="32"/>
          <w:lang w:eastAsia="zh-CN"/>
        </w:rPr>
        <w:t>综合评价分析情况及评价结论（附相关评分表）</w:t>
      </w:r>
    </w:p>
    <w:p w14:paraId="32CB722D">
      <w:pPr>
        <w:pStyle w:val="2"/>
        <w:pageBreakBefore w:val="0"/>
        <w:numPr>
          <w:ilvl w:val="0"/>
          <w:numId w:val="0"/>
        </w:numPr>
        <w:kinsoku/>
        <w:wordWrap/>
        <w:overflowPunct/>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pacing w:val="6"/>
          <w:kern w:val="0"/>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综合评价分析情况：资金支出全部纳入单位财务统一核算，使用范围完全符合检察机关</w:t>
      </w:r>
      <w:r>
        <w:rPr>
          <w:rFonts w:hint="eastAsia" w:ascii="仿宋_GB2312" w:hAnsi="仿宋_GB2312" w:eastAsia="仿宋_GB2312" w:cs="仿宋_GB2312"/>
          <w:color w:val="auto"/>
          <w:spacing w:val="6"/>
          <w:kern w:val="0"/>
          <w:sz w:val="32"/>
          <w:szCs w:val="32"/>
          <w:lang w:val="en-US" w:eastAsia="zh-CN" w:bidi="ar-SA"/>
        </w:rPr>
        <w:t>办案（业务）经费开支标准，会计核算规范，资金使用的合规性、安全性良好。</w:t>
      </w:r>
    </w:p>
    <w:p w14:paraId="45B38DC3">
      <w:pPr>
        <w:pStyle w:val="2"/>
        <w:pageBreakBefore w:val="0"/>
        <w:numPr>
          <w:ilvl w:val="0"/>
          <w:numId w:val="0"/>
        </w:numPr>
        <w:kinsoku/>
        <w:wordWrap/>
        <w:overflowPunct/>
        <w:autoSpaceDE/>
        <w:autoSpaceDN/>
        <w:bidi w:val="0"/>
        <w:adjustRightInd/>
        <w:snapToGrid/>
        <w:spacing w:line="560" w:lineRule="exact"/>
        <w:ind w:right="0" w:rightChars="0"/>
        <w:textAlignment w:val="auto"/>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评价结论：该项目评价等级为优秀。项目整体围绕年度绩效目标规范实施，资金使用合规安全，预算执行到位，有效保障了检察机关各项检察职能依法履行，社会效益与可持续影响显著，基本实现了项目设定的年度绩效目标。</w:t>
      </w:r>
    </w:p>
    <w:p w14:paraId="3F964170">
      <w:pPr>
        <w:pStyle w:val="2"/>
        <w:widowControl w:val="0"/>
        <w:numPr>
          <w:ilvl w:val="0"/>
          <w:numId w:val="0"/>
        </w:numPr>
        <w:jc w:val="both"/>
      </w:pPr>
    </w:p>
    <w:tbl>
      <w:tblPr>
        <w:tblStyle w:val="20"/>
        <w:tblW w:w="83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85"/>
        <w:gridCol w:w="680"/>
        <w:gridCol w:w="724"/>
        <w:gridCol w:w="827"/>
        <w:gridCol w:w="596"/>
        <w:gridCol w:w="720"/>
        <w:gridCol w:w="719"/>
        <w:gridCol w:w="694"/>
        <w:gridCol w:w="655"/>
        <w:gridCol w:w="617"/>
        <w:gridCol w:w="618"/>
        <w:gridCol w:w="890"/>
      </w:tblGrid>
      <w:tr w14:paraId="4201C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60" w:hRule="atLeast"/>
        </w:trPr>
        <w:tc>
          <w:tcPr>
            <w:tcW w:w="832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B34FCEA">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项目支出绩效自评表</w:t>
            </w:r>
            <w:r>
              <w:rPr>
                <w:rFonts w:hint="eastAsia" w:ascii="宋体" w:hAnsi="宋体" w:eastAsia="宋体" w:cs="宋体"/>
                <w:b/>
                <w:i w:val="0"/>
                <w:color w:val="000000"/>
                <w:kern w:val="0"/>
                <w:sz w:val="40"/>
                <w:szCs w:val="40"/>
                <w:u w:val="none"/>
                <w:lang w:val="en-US" w:eastAsia="zh-CN" w:bidi="ar"/>
              </w:rPr>
              <w:br w:type="textWrapping"/>
            </w:r>
            <w:r>
              <w:rPr>
                <w:rFonts w:hint="eastAsia" w:ascii="宋体" w:hAnsi="宋体" w:eastAsia="宋体" w:cs="宋体"/>
                <w:b/>
                <w:i w:val="0"/>
                <w:color w:val="000000"/>
                <w:kern w:val="0"/>
                <w:sz w:val="40"/>
                <w:szCs w:val="40"/>
                <w:u w:val="none"/>
                <w:lang w:val="en-US" w:eastAsia="zh-CN" w:bidi="ar"/>
              </w:rPr>
              <w:t>(2025年度）</w:t>
            </w:r>
          </w:p>
        </w:tc>
      </w:tr>
      <w:tr w14:paraId="21CA4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858B2">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0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C45000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办案（业务）经费</w:t>
            </w:r>
          </w:p>
        </w:tc>
      </w:tr>
      <w:tr w14:paraId="5CB74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A200E">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28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AECE6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呼伦贝尔市扎赉诺尔区人民检察院部门</w:t>
            </w:r>
          </w:p>
        </w:tc>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FA96D6">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7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89470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呼伦贝尔市扎赉诺尔区人民检察院</w:t>
            </w:r>
          </w:p>
        </w:tc>
      </w:tr>
      <w:tr w14:paraId="7DB95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FDE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8D50">
            <w:pPr>
              <w:rPr>
                <w:rFonts w:hint="eastAsia" w:ascii="宋体" w:hAnsi="宋体" w:eastAsia="宋体" w:cs="宋体"/>
                <w:i w:val="0"/>
                <w:color w:val="000000"/>
                <w:sz w:val="18"/>
                <w:szCs w:val="18"/>
                <w:u w:val="none"/>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01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E39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4AA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1D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A62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D8E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14:paraId="2D870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2220E">
            <w:pPr>
              <w:jc w:val="center"/>
              <w:rPr>
                <w:rFonts w:hint="eastAsia" w:ascii="宋体" w:hAnsi="宋体" w:eastAsia="宋体" w:cs="宋体"/>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36F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5CE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454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138.5</w:t>
            </w:r>
          </w:p>
        </w:tc>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DDC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26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381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D4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14:paraId="4E364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1C6B2">
            <w:pPr>
              <w:jc w:val="center"/>
              <w:rPr>
                <w:rFonts w:hint="eastAsia" w:ascii="宋体" w:hAnsi="宋体" w:eastAsia="宋体" w:cs="宋体"/>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E1D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A6D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1B1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138.5</w:t>
            </w:r>
          </w:p>
        </w:tc>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E44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145.28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AF56">
            <w:pPr>
              <w:keepNext w:val="0"/>
              <w:keepLines w:val="0"/>
              <w:widowControl/>
              <w:suppressLineNumbers w:val="0"/>
              <w:jc w:val="center"/>
              <w:textAlignment w:val="center"/>
              <w:rPr>
                <w:rFonts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D3C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65122">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18BC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D334E">
            <w:pPr>
              <w:jc w:val="center"/>
              <w:rPr>
                <w:rFonts w:hint="eastAsia" w:ascii="宋体" w:hAnsi="宋体" w:eastAsia="宋体" w:cs="宋体"/>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25C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上年结转资金</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002D">
            <w:pPr>
              <w:rPr>
                <w:rFonts w:hint="eastAsia" w:ascii="宋体" w:hAnsi="宋体" w:eastAsia="宋体" w:cs="宋体"/>
                <w:i w:val="0"/>
                <w:color w:val="000000"/>
                <w:sz w:val="18"/>
                <w:szCs w:val="18"/>
                <w:u w:val="none"/>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8AEDFF">
            <w:pPr>
              <w:jc w:val="center"/>
              <w:rPr>
                <w:rFonts w:hint="eastAsia" w:ascii="宋体" w:hAnsi="宋体" w:eastAsia="宋体" w:cs="宋体"/>
                <w:i w:val="0"/>
                <w:color w:val="000000"/>
                <w:sz w:val="18"/>
                <w:szCs w:val="18"/>
                <w:u w:val="none"/>
              </w:rPr>
            </w:pPr>
          </w:p>
        </w:tc>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1BB27">
            <w:pPr>
              <w:jc w:val="center"/>
              <w:rPr>
                <w:rFonts w:hint="eastAsia" w:ascii="宋体" w:hAnsi="宋体" w:eastAsia="宋体" w:cs="宋体"/>
                <w:i w:val="0"/>
                <w:color w:val="000000"/>
                <w:sz w:val="18"/>
                <w:szCs w:val="18"/>
                <w:u w:val="none"/>
              </w:rPr>
            </w:pP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012B">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12976">
            <w:pPr>
              <w:jc w:val="center"/>
              <w:rPr>
                <w:rFonts w:hint="eastAsia" w:ascii="宋体" w:hAnsi="宋体" w:eastAsia="宋体" w:cs="宋体"/>
                <w:i w:val="0"/>
                <w:color w:val="000000"/>
                <w:sz w:val="18"/>
                <w:szCs w:val="18"/>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CFD0">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12121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723BF">
            <w:pPr>
              <w:jc w:val="center"/>
              <w:rPr>
                <w:rFonts w:hint="eastAsia" w:ascii="宋体" w:hAnsi="宋体" w:eastAsia="宋体" w:cs="宋体"/>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DC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9AD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872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A80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81BB">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c>
          <w:tcPr>
            <w:tcW w:w="1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A4C9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CBF2A">
            <w:pPr>
              <w:keepNext w:val="0"/>
              <w:keepLines w:val="0"/>
              <w:widowControl/>
              <w:suppressLineNumbers w:val="0"/>
              <w:jc w:val="center"/>
              <w:textAlignment w:val="center"/>
              <w:rPr>
                <w:rFonts w:hint="default" w:ascii="Arial" w:hAnsi="Arial" w:eastAsia="宋体" w:cs="Arial"/>
                <w:i w:val="0"/>
                <w:color w:val="222222"/>
                <w:sz w:val="19"/>
                <w:szCs w:val="19"/>
                <w:u w:val="none"/>
              </w:rPr>
            </w:pPr>
            <w:r>
              <w:rPr>
                <w:rFonts w:hint="default" w:ascii="Arial" w:hAnsi="Arial" w:eastAsia="宋体" w:cs="Arial"/>
                <w:i w:val="0"/>
                <w:color w:val="222222"/>
                <w:kern w:val="0"/>
                <w:sz w:val="19"/>
                <w:szCs w:val="19"/>
                <w:u w:val="none"/>
                <w:lang w:val="en-US" w:eastAsia="zh-CN" w:bidi="ar"/>
              </w:rPr>
              <w:t>——</w:t>
            </w:r>
          </w:p>
        </w:tc>
      </w:tr>
      <w:tr w14:paraId="32EFD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5A7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35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1545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F683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1E992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20" w:hRule="atLeast"/>
        </w:trPr>
        <w:tc>
          <w:tcPr>
            <w:tcW w:w="12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BDBA9">
            <w:pPr>
              <w:jc w:val="center"/>
              <w:rPr>
                <w:rFonts w:hint="eastAsia" w:ascii="宋体" w:hAnsi="宋体" w:eastAsia="宋体" w:cs="宋体"/>
                <w:i w:val="0"/>
                <w:color w:val="000000"/>
                <w:sz w:val="18"/>
                <w:szCs w:val="18"/>
                <w:u w:val="none"/>
              </w:rPr>
            </w:pPr>
          </w:p>
        </w:tc>
        <w:tc>
          <w:tcPr>
            <w:tcW w:w="35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8CF7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充分发挥检察职能，加强队伍建设，增强群众满意度。保障聘用人员的相关支出，使检察工作顺利运转。保障检察业务正常运转。保障执法执勤车辆的正常运行。</w:t>
            </w:r>
          </w:p>
        </w:tc>
        <w:tc>
          <w:tcPr>
            <w:tcW w:w="34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1EF1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2025年预算总额138.5万元，执行率104.9%，支出合规。办案质效方面，案件审结率均完成目标，案件质量评查优秀，经费使用合规高效，群众满意度达标。 </w:t>
            </w:r>
          </w:p>
        </w:tc>
      </w:tr>
      <w:tr w14:paraId="4E580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07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95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174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53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CED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指标性质</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AA7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指标方向</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E9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4E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05B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8B5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4E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C85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3743C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restart"/>
            <w:tcBorders>
              <w:top w:val="single" w:color="000000" w:sz="4" w:space="0"/>
              <w:left w:val="single" w:color="000000" w:sz="4" w:space="0"/>
              <w:right w:val="single" w:color="000000" w:sz="4" w:space="0"/>
            </w:tcBorders>
            <w:shd w:val="clear" w:color="auto" w:fill="auto"/>
            <w:vAlign w:val="center"/>
          </w:tcPr>
          <w:p w14:paraId="3DE38C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绩效指标</w:t>
            </w:r>
          </w:p>
        </w:tc>
        <w:tc>
          <w:tcPr>
            <w:tcW w:w="680" w:type="dxa"/>
            <w:vMerge w:val="restart"/>
            <w:tcBorders>
              <w:top w:val="single" w:color="000000" w:sz="4" w:space="0"/>
              <w:left w:val="single" w:color="000000" w:sz="4" w:space="0"/>
              <w:right w:val="single" w:color="000000" w:sz="4" w:space="0"/>
            </w:tcBorders>
            <w:shd w:val="clear" w:color="auto" w:fill="auto"/>
            <w:vAlign w:val="center"/>
          </w:tcPr>
          <w:p w14:paraId="2AC25A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24" w:type="dxa"/>
            <w:vMerge w:val="restart"/>
            <w:tcBorders>
              <w:top w:val="single" w:color="000000" w:sz="4" w:space="0"/>
              <w:left w:val="single" w:color="000000" w:sz="4" w:space="0"/>
              <w:right w:val="single" w:color="000000" w:sz="4" w:space="0"/>
            </w:tcBorders>
            <w:shd w:val="clear" w:color="auto" w:fill="auto"/>
            <w:vAlign w:val="center"/>
          </w:tcPr>
          <w:p w14:paraId="2954E0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827" w:type="dxa"/>
            <w:tcBorders>
              <w:top w:val="single" w:color="000000" w:sz="4" w:space="0"/>
              <w:left w:val="single" w:color="000000" w:sz="4" w:space="0"/>
              <w:right w:val="single" w:color="000000" w:sz="4" w:space="0"/>
            </w:tcBorders>
            <w:shd w:val="clear" w:color="auto" w:fill="auto"/>
            <w:vAlign w:val="center"/>
          </w:tcPr>
          <w:p w14:paraId="3E1E90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公开案件听证数</w:t>
            </w:r>
          </w:p>
        </w:tc>
        <w:tc>
          <w:tcPr>
            <w:tcW w:w="596" w:type="dxa"/>
            <w:tcBorders>
              <w:top w:val="single" w:color="000000" w:sz="4" w:space="0"/>
              <w:left w:val="single" w:color="000000" w:sz="4" w:space="0"/>
              <w:right w:val="single" w:color="000000" w:sz="4" w:space="0"/>
            </w:tcBorders>
            <w:shd w:val="clear" w:color="auto" w:fill="auto"/>
            <w:vAlign w:val="center"/>
          </w:tcPr>
          <w:p w14:paraId="6E9EE8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0" w:type="dxa"/>
            <w:tcBorders>
              <w:top w:val="single" w:color="000000" w:sz="4" w:space="0"/>
              <w:left w:val="single" w:color="000000" w:sz="4" w:space="0"/>
              <w:right w:val="single" w:color="000000" w:sz="4" w:space="0"/>
            </w:tcBorders>
            <w:shd w:val="clear" w:color="auto" w:fill="auto"/>
            <w:vAlign w:val="center"/>
          </w:tcPr>
          <w:p w14:paraId="4ADB0F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w:t>
            </w:r>
          </w:p>
        </w:tc>
        <w:tc>
          <w:tcPr>
            <w:tcW w:w="719" w:type="dxa"/>
            <w:tcBorders>
              <w:top w:val="single" w:color="000000" w:sz="4" w:space="0"/>
              <w:left w:val="single" w:color="000000" w:sz="4" w:space="0"/>
              <w:right w:val="single" w:color="000000" w:sz="4" w:space="0"/>
            </w:tcBorders>
            <w:shd w:val="clear" w:color="auto" w:fill="auto"/>
            <w:vAlign w:val="center"/>
          </w:tcPr>
          <w:p w14:paraId="1FE5E3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94" w:type="dxa"/>
            <w:tcBorders>
              <w:top w:val="single" w:color="000000" w:sz="4" w:space="0"/>
              <w:left w:val="single" w:color="000000" w:sz="4" w:space="0"/>
              <w:right w:val="single" w:color="000000" w:sz="4" w:space="0"/>
            </w:tcBorders>
            <w:shd w:val="clear" w:color="auto" w:fill="auto"/>
            <w:vAlign w:val="center"/>
          </w:tcPr>
          <w:p w14:paraId="567302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55" w:type="dxa"/>
            <w:tcBorders>
              <w:top w:val="single" w:color="000000" w:sz="4" w:space="0"/>
              <w:left w:val="single" w:color="000000" w:sz="4" w:space="0"/>
              <w:right w:val="single" w:color="000000" w:sz="4" w:space="0"/>
            </w:tcBorders>
            <w:shd w:val="clear" w:color="auto" w:fill="auto"/>
            <w:vAlign w:val="center"/>
          </w:tcPr>
          <w:p w14:paraId="6A6C56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件</w:t>
            </w:r>
          </w:p>
        </w:tc>
        <w:tc>
          <w:tcPr>
            <w:tcW w:w="617" w:type="dxa"/>
            <w:tcBorders>
              <w:top w:val="single" w:color="000000" w:sz="4" w:space="0"/>
              <w:left w:val="single" w:color="000000" w:sz="4" w:space="0"/>
              <w:right w:val="single" w:color="000000" w:sz="4" w:space="0"/>
            </w:tcBorders>
            <w:shd w:val="clear" w:color="auto" w:fill="auto"/>
            <w:vAlign w:val="center"/>
          </w:tcPr>
          <w:p w14:paraId="65FC1D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8" w:type="dxa"/>
            <w:tcBorders>
              <w:top w:val="single" w:color="000000" w:sz="4" w:space="0"/>
              <w:left w:val="single" w:color="000000" w:sz="4" w:space="0"/>
              <w:right w:val="single" w:color="000000" w:sz="4" w:space="0"/>
            </w:tcBorders>
            <w:shd w:val="clear" w:color="auto" w:fill="auto"/>
            <w:vAlign w:val="center"/>
          </w:tcPr>
          <w:p w14:paraId="528236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90" w:type="dxa"/>
            <w:tcBorders>
              <w:top w:val="single" w:color="000000" w:sz="4" w:space="0"/>
              <w:left w:val="single" w:color="000000" w:sz="4" w:space="0"/>
              <w:right w:val="single" w:color="000000" w:sz="4" w:space="0"/>
            </w:tcBorders>
            <w:shd w:val="clear" w:color="auto" w:fill="auto"/>
            <w:vAlign w:val="center"/>
          </w:tcPr>
          <w:p w14:paraId="3F64FAA9">
            <w:pPr>
              <w:jc w:val="center"/>
              <w:rPr>
                <w:rFonts w:hint="eastAsia" w:ascii="宋体" w:hAnsi="宋体" w:eastAsia="宋体" w:cs="宋体"/>
                <w:i w:val="0"/>
                <w:color w:val="000000"/>
                <w:sz w:val="18"/>
                <w:szCs w:val="18"/>
                <w:u w:val="none"/>
              </w:rPr>
            </w:pPr>
          </w:p>
        </w:tc>
      </w:tr>
      <w:tr w14:paraId="10509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7054C998">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619E6466">
            <w:pPr>
              <w:jc w:val="center"/>
              <w:rPr>
                <w:rFonts w:hint="eastAsia" w:ascii="宋体" w:hAnsi="宋体" w:eastAsia="宋体" w:cs="宋体"/>
                <w:i w:val="0"/>
                <w:color w:val="000000"/>
                <w:sz w:val="18"/>
                <w:szCs w:val="18"/>
                <w:u w:val="none"/>
              </w:rPr>
            </w:pPr>
          </w:p>
        </w:tc>
        <w:tc>
          <w:tcPr>
            <w:tcW w:w="724" w:type="dxa"/>
            <w:vMerge w:val="continue"/>
            <w:tcBorders>
              <w:top w:val="single" w:color="000000" w:sz="4" w:space="0"/>
              <w:left w:val="single" w:color="000000" w:sz="4" w:space="0"/>
              <w:right w:val="single" w:color="000000" w:sz="4" w:space="0"/>
            </w:tcBorders>
            <w:shd w:val="clear" w:color="auto" w:fill="auto"/>
            <w:vAlign w:val="center"/>
          </w:tcPr>
          <w:p w14:paraId="0927EF42">
            <w:pPr>
              <w:jc w:val="center"/>
              <w:rPr>
                <w:rFonts w:hint="eastAsia" w:ascii="宋体" w:hAnsi="宋体" w:eastAsia="宋体" w:cs="宋体"/>
                <w:i w:val="0"/>
                <w:color w:val="000000"/>
                <w:sz w:val="18"/>
                <w:szCs w:val="18"/>
                <w:u w:val="none"/>
              </w:rPr>
            </w:pPr>
          </w:p>
        </w:tc>
        <w:tc>
          <w:tcPr>
            <w:tcW w:w="827" w:type="dxa"/>
            <w:tcBorders>
              <w:top w:val="single" w:color="000000" w:sz="4" w:space="0"/>
              <w:left w:val="single" w:color="000000" w:sz="4" w:space="0"/>
              <w:right w:val="single" w:color="000000" w:sz="4" w:space="0"/>
            </w:tcBorders>
            <w:shd w:val="clear" w:color="auto" w:fill="auto"/>
            <w:vAlign w:val="center"/>
          </w:tcPr>
          <w:p w14:paraId="4B9480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信息网络平台运维次数</w:t>
            </w:r>
          </w:p>
        </w:tc>
        <w:tc>
          <w:tcPr>
            <w:tcW w:w="596" w:type="dxa"/>
            <w:tcBorders>
              <w:top w:val="single" w:color="000000" w:sz="4" w:space="0"/>
              <w:left w:val="single" w:color="000000" w:sz="4" w:space="0"/>
              <w:right w:val="single" w:color="000000" w:sz="4" w:space="0"/>
            </w:tcBorders>
            <w:shd w:val="clear" w:color="auto" w:fill="auto"/>
            <w:vAlign w:val="center"/>
          </w:tcPr>
          <w:p w14:paraId="293B75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0" w:type="dxa"/>
            <w:tcBorders>
              <w:top w:val="single" w:color="000000" w:sz="4" w:space="0"/>
              <w:left w:val="single" w:color="000000" w:sz="4" w:space="0"/>
              <w:right w:val="single" w:color="000000" w:sz="4" w:space="0"/>
            </w:tcBorders>
            <w:shd w:val="clear" w:color="auto" w:fill="auto"/>
            <w:vAlign w:val="center"/>
          </w:tcPr>
          <w:p w14:paraId="59BCE8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19" w:type="dxa"/>
            <w:tcBorders>
              <w:top w:val="single" w:color="000000" w:sz="4" w:space="0"/>
              <w:left w:val="single" w:color="000000" w:sz="4" w:space="0"/>
              <w:right w:val="single" w:color="000000" w:sz="4" w:space="0"/>
            </w:tcBorders>
            <w:shd w:val="clear" w:color="auto" w:fill="auto"/>
            <w:vAlign w:val="center"/>
          </w:tcPr>
          <w:p w14:paraId="3608F7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94" w:type="dxa"/>
            <w:tcBorders>
              <w:top w:val="single" w:color="000000" w:sz="4" w:space="0"/>
              <w:left w:val="single" w:color="000000" w:sz="4" w:space="0"/>
              <w:right w:val="single" w:color="000000" w:sz="4" w:space="0"/>
            </w:tcBorders>
            <w:shd w:val="clear" w:color="auto" w:fill="auto"/>
            <w:vAlign w:val="center"/>
          </w:tcPr>
          <w:p w14:paraId="604A00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655" w:type="dxa"/>
            <w:tcBorders>
              <w:top w:val="single" w:color="000000" w:sz="4" w:space="0"/>
              <w:left w:val="single" w:color="000000" w:sz="4" w:space="0"/>
              <w:right w:val="single" w:color="000000" w:sz="4" w:space="0"/>
            </w:tcBorders>
            <w:shd w:val="clear" w:color="auto" w:fill="auto"/>
            <w:vAlign w:val="center"/>
          </w:tcPr>
          <w:p w14:paraId="6FE285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次</w:t>
            </w:r>
          </w:p>
        </w:tc>
        <w:tc>
          <w:tcPr>
            <w:tcW w:w="617" w:type="dxa"/>
            <w:tcBorders>
              <w:top w:val="single" w:color="000000" w:sz="4" w:space="0"/>
              <w:left w:val="single" w:color="000000" w:sz="4" w:space="0"/>
              <w:right w:val="single" w:color="000000" w:sz="4" w:space="0"/>
            </w:tcBorders>
            <w:shd w:val="clear" w:color="auto" w:fill="auto"/>
            <w:vAlign w:val="center"/>
          </w:tcPr>
          <w:p w14:paraId="558709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2D6E94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66B88271">
            <w:pPr>
              <w:jc w:val="center"/>
              <w:rPr>
                <w:rFonts w:hint="eastAsia" w:ascii="宋体" w:hAnsi="宋体" w:eastAsia="宋体" w:cs="宋体"/>
                <w:i w:val="0"/>
                <w:color w:val="000000"/>
                <w:sz w:val="18"/>
                <w:szCs w:val="18"/>
                <w:u w:val="none"/>
              </w:rPr>
            </w:pPr>
          </w:p>
        </w:tc>
      </w:tr>
      <w:tr w14:paraId="37E7C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3454510C">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574F80F9">
            <w:pPr>
              <w:jc w:val="center"/>
              <w:rPr>
                <w:rFonts w:hint="eastAsia" w:ascii="宋体" w:hAnsi="宋体" w:eastAsia="宋体" w:cs="宋体"/>
                <w:i w:val="0"/>
                <w:color w:val="000000"/>
                <w:sz w:val="18"/>
                <w:szCs w:val="18"/>
                <w:u w:val="none"/>
              </w:rPr>
            </w:pPr>
          </w:p>
        </w:tc>
        <w:tc>
          <w:tcPr>
            <w:tcW w:w="724" w:type="dxa"/>
            <w:vMerge w:val="restart"/>
            <w:tcBorders>
              <w:top w:val="single" w:color="000000" w:sz="4" w:space="0"/>
              <w:left w:val="single" w:color="000000" w:sz="4" w:space="0"/>
              <w:right w:val="single" w:color="000000" w:sz="4" w:space="0"/>
            </w:tcBorders>
            <w:shd w:val="clear" w:color="auto" w:fill="auto"/>
            <w:vAlign w:val="center"/>
          </w:tcPr>
          <w:p w14:paraId="5330F0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827" w:type="dxa"/>
            <w:tcBorders>
              <w:top w:val="single" w:color="000000" w:sz="4" w:space="0"/>
              <w:left w:val="single" w:color="000000" w:sz="4" w:space="0"/>
              <w:right w:val="single" w:color="000000" w:sz="4" w:space="0"/>
            </w:tcBorders>
            <w:shd w:val="clear" w:color="auto" w:fill="auto"/>
            <w:vAlign w:val="center"/>
          </w:tcPr>
          <w:p w14:paraId="3ED494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网络正常运行率</w:t>
            </w:r>
          </w:p>
        </w:tc>
        <w:tc>
          <w:tcPr>
            <w:tcW w:w="596" w:type="dxa"/>
            <w:tcBorders>
              <w:top w:val="single" w:color="000000" w:sz="4" w:space="0"/>
              <w:left w:val="single" w:color="000000" w:sz="4" w:space="0"/>
              <w:right w:val="single" w:color="000000" w:sz="4" w:space="0"/>
            </w:tcBorders>
            <w:shd w:val="clear" w:color="auto" w:fill="auto"/>
            <w:vAlign w:val="center"/>
          </w:tcPr>
          <w:p w14:paraId="38267A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0" w:type="dxa"/>
            <w:tcBorders>
              <w:top w:val="single" w:color="000000" w:sz="4" w:space="0"/>
              <w:left w:val="single" w:color="000000" w:sz="4" w:space="0"/>
              <w:right w:val="single" w:color="000000" w:sz="4" w:space="0"/>
            </w:tcBorders>
            <w:shd w:val="clear" w:color="auto" w:fill="auto"/>
            <w:vAlign w:val="center"/>
          </w:tcPr>
          <w:p w14:paraId="1907EA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19" w:type="dxa"/>
            <w:tcBorders>
              <w:top w:val="single" w:color="000000" w:sz="4" w:space="0"/>
              <w:left w:val="single" w:color="000000" w:sz="4" w:space="0"/>
              <w:right w:val="single" w:color="000000" w:sz="4" w:space="0"/>
            </w:tcBorders>
            <w:shd w:val="clear" w:color="auto" w:fill="auto"/>
            <w:vAlign w:val="center"/>
          </w:tcPr>
          <w:p w14:paraId="758EC6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694" w:type="dxa"/>
            <w:tcBorders>
              <w:top w:val="single" w:color="000000" w:sz="4" w:space="0"/>
              <w:left w:val="single" w:color="000000" w:sz="4" w:space="0"/>
              <w:right w:val="single" w:color="000000" w:sz="4" w:space="0"/>
            </w:tcBorders>
            <w:shd w:val="clear" w:color="auto" w:fill="auto"/>
            <w:vAlign w:val="center"/>
          </w:tcPr>
          <w:p w14:paraId="0ABF1C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655" w:type="dxa"/>
            <w:tcBorders>
              <w:top w:val="single" w:color="000000" w:sz="4" w:space="0"/>
              <w:left w:val="single" w:color="000000" w:sz="4" w:space="0"/>
              <w:right w:val="single" w:color="000000" w:sz="4" w:space="0"/>
            </w:tcBorders>
            <w:shd w:val="clear" w:color="auto" w:fill="auto"/>
            <w:vAlign w:val="center"/>
          </w:tcPr>
          <w:p w14:paraId="05351B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17" w:type="dxa"/>
            <w:tcBorders>
              <w:top w:val="single" w:color="000000" w:sz="4" w:space="0"/>
              <w:left w:val="single" w:color="000000" w:sz="4" w:space="0"/>
              <w:right w:val="single" w:color="000000" w:sz="4" w:space="0"/>
            </w:tcBorders>
            <w:shd w:val="clear" w:color="auto" w:fill="auto"/>
            <w:vAlign w:val="center"/>
          </w:tcPr>
          <w:p w14:paraId="5B88EF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3EF1D1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4C43A1CA">
            <w:pPr>
              <w:jc w:val="center"/>
              <w:rPr>
                <w:rFonts w:hint="eastAsia" w:ascii="宋体" w:hAnsi="宋体" w:eastAsia="宋体" w:cs="宋体"/>
                <w:i w:val="0"/>
                <w:color w:val="000000"/>
                <w:sz w:val="18"/>
                <w:szCs w:val="18"/>
                <w:u w:val="none"/>
              </w:rPr>
            </w:pPr>
          </w:p>
        </w:tc>
      </w:tr>
      <w:tr w14:paraId="59592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1D34742D">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41661A79">
            <w:pPr>
              <w:jc w:val="center"/>
              <w:rPr>
                <w:rFonts w:hint="eastAsia" w:ascii="宋体" w:hAnsi="宋体" w:eastAsia="宋体" w:cs="宋体"/>
                <w:i w:val="0"/>
                <w:color w:val="000000"/>
                <w:sz w:val="18"/>
                <w:szCs w:val="18"/>
                <w:u w:val="none"/>
              </w:rPr>
            </w:pPr>
          </w:p>
        </w:tc>
        <w:tc>
          <w:tcPr>
            <w:tcW w:w="724" w:type="dxa"/>
            <w:vMerge w:val="continue"/>
            <w:tcBorders>
              <w:top w:val="single" w:color="000000" w:sz="4" w:space="0"/>
              <w:left w:val="single" w:color="000000" w:sz="4" w:space="0"/>
              <w:right w:val="single" w:color="000000" w:sz="4" w:space="0"/>
            </w:tcBorders>
            <w:shd w:val="clear" w:color="auto" w:fill="auto"/>
            <w:vAlign w:val="center"/>
          </w:tcPr>
          <w:p w14:paraId="10D63AEE">
            <w:pPr>
              <w:jc w:val="center"/>
              <w:rPr>
                <w:rFonts w:hint="eastAsia" w:ascii="宋体" w:hAnsi="宋体" w:eastAsia="宋体" w:cs="宋体"/>
                <w:i w:val="0"/>
                <w:color w:val="000000"/>
                <w:sz w:val="18"/>
                <w:szCs w:val="18"/>
                <w:u w:val="none"/>
              </w:rPr>
            </w:pPr>
          </w:p>
        </w:tc>
        <w:tc>
          <w:tcPr>
            <w:tcW w:w="827" w:type="dxa"/>
            <w:tcBorders>
              <w:top w:val="single" w:color="000000" w:sz="4" w:space="0"/>
              <w:left w:val="single" w:color="000000" w:sz="4" w:space="0"/>
              <w:right w:val="single" w:color="000000" w:sz="4" w:space="0"/>
            </w:tcBorders>
            <w:shd w:val="clear" w:color="auto" w:fill="auto"/>
            <w:vAlign w:val="center"/>
          </w:tcPr>
          <w:p w14:paraId="3FB0DA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案件审结率</w:t>
            </w:r>
          </w:p>
        </w:tc>
        <w:tc>
          <w:tcPr>
            <w:tcW w:w="596" w:type="dxa"/>
            <w:tcBorders>
              <w:top w:val="single" w:color="000000" w:sz="4" w:space="0"/>
              <w:left w:val="single" w:color="000000" w:sz="4" w:space="0"/>
              <w:right w:val="single" w:color="000000" w:sz="4" w:space="0"/>
            </w:tcBorders>
            <w:shd w:val="clear" w:color="auto" w:fill="auto"/>
            <w:vAlign w:val="center"/>
          </w:tcPr>
          <w:p w14:paraId="1FE6B0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0" w:type="dxa"/>
            <w:tcBorders>
              <w:top w:val="single" w:color="000000" w:sz="4" w:space="0"/>
              <w:left w:val="single" w:color="000000" w:sz="4" w:space="0"/>
              <w:right w:val="single" w:color="000000" w:sz="4" w:space="0"/>
            </w:tcBorders>
            <w:shd w:val="clear" w:color="auto" w:fill="auto"/>
            <w:vAlign w:val="center"/>
          </w:tcPr>
          <w:p w14:paraId="719665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19" w:type="dxa"/>
            <w:tcBorders>
              <w:top w:val="single" w:color="000000" w:sz="4" w:space="0"/>
              <w:left w:val="single" w:color="000000" w:sz="4" w:space="0"/>
              <w:right w:val="single" w:color="000000" w:sz="4" w:space="0"/>
            </w:tcBorders>
            <w:shd w:val="clear" w:color="auto" w:fill="auto"/>
            <w:vAlign w:val="center"/>
          </w:tcPr>
          <w:p w14:paraId="64FA4E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94" w:type="dxa"/>
            <w:tcBorders>
              <w:top w:val="single" w:color="000000" w:sz="4" w:space="0"/>
              <w:left w:val="single" w:color="000000" w:sz="4" w:space="0"/>
              <w:right w:val="single" w:color="000000" w:sz="4" w:space="0"/>
            </w:tcBorders>
            <w:shd w:val="clear" w:color="auto" w:fill="auto"/>
            <w:vAlign w:val="center"/>
          </w:tcPr>
          <w:p w14:paraId="586C4BF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95.24</w:t>
            </w:r>
          </w:p>
        </w:tc>
        <w:tc>
          <w:tcPr>
            <w:tcW w:w="655" w:type="dxa"/>
            <w:tcBorders>
              <w:top w:val="single" w:color="000000" w:sz="4" w:space="0"/>
              <w:left w:val="single" w:color="000000" w:sz="4" w:space="0"/>
              <w:right w:val="single" w:color="000000" w:sz="4" w:space="0"/>
            </w:tcBorders>
            <w:shd w:val="clear" w:color="auto" w:fill="auto"/>
            <w:vAlign w:val="center"/>
          </w:tcPr>
          <w:p w14:paraId="27D17F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17" w:type="dxa"/>
            <w:tcBorders>
              <w:top w:val="single" w:color="000000" w:sz="4" w:space="0"/>
              <w:left w:val="single" w:color="000000" w:sz="4" w:space="0"/>
              <w:right w:val="single" w:color="000000" w:sz="4" w:space="0"/>
            </w:tcBorders>
            <w:shd w:val="clear" w:color="auto" w:fill="auto"/>
            <w:vAlign w:val="center"/>
          </w:tcPr>
          <w:p w14:paraId="22394B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8" w:type="dxa"/>
            <w:tcBorders>
              <w:top w:val="single" w:color="000000" w:sz="4" w:space="0"/>
              <w:left w:val="single" w:color="000000" w:sz="4" w:space="0"/>
              <w:right w:val="single" w:color="000000" w:sz="4" w:space="0"/>
            </w:tcBorders>
            <w:shd w:val="clear" w:color="auto" w:fill="auto"/>
            <w:vAlign w:val="center"/>
          </w:tcPr>
          <w:p w14:paraId="4BD5B0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90" w:type="dxa"/>
            <w:tcBorders>
              <w:top w:val="single" w:color="000000" w:sz="4" w:space="0"/>
              <w:left w:val="single" w:color="000000" w:sz="4" w:space="0"/>
              <w:right w:val="single" w:color="000000" w:sz="4" w:space="0"/>
            </w:tcBorders>
            <w:shd w:val="clear" w:color="auto" w:fill="auto"/>
            <w:vAlign w:val="center"/>
          </w:tcPr>
          <w:p w14:paraId="53F7EE93">
            <w:pPr>
              <w:jc w:val="center"/>
              <w:rPr>
                <w:rFonts w:hint="eastAsia" w:ascii="宋体" w:hAnsi="宋体" w:eastAsia="宋体" w:cs="宋体"/>
                <w:i w:val="0"/>
                <w:color w:val="000000"/>
                <w:sz w:val="18"/>
                <w:szCs w:val="18"/>
                <w:u w:val="none"/>
              </w:rPr>
            </w:pPr>
          </w:p>
        </w:tc>
      </w:tr>
      <w:tr w14:paraId="42D1B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7F5201E6">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0629C6B2">
            <w:pPr>
              <w:jc w:val="center"/>
              <w:rPr>
                <w:rFonts w:hint="eastAsia" w:ascii="宋体" w:hAnsi="宋体" w:eastAsia="宋体" w:cs="宋体"/>
                <w:i w:val="0"/>
                <w:color w:val="000000"/>
                <w:sz w:val="18"/>
                <w:szCs w:val="18"/>
                <w:u w:val="none"/>
              </w:rPr>
            </w:pPr>
          </w:p>
        </w:tc>
        <w:tc>
          <w:tcPr>
            <w:tcW w:w="724" w:type="dxa"/>
            <w:vMerge w:val="restart"/>
            <w:tcBorders>
              <w:top w:val="single" w:color="000000" w:sz="4" w:space="0"/>
              <w:left w:val="single" w:color="000000" w:sz="4" w:space="0"/>
              <w:right w:val="single" w:color="000000" w:sz="4" w:space="0"/>
            </w:tcBorders>
            <w:shd w:val="clear" w:color="auto" w:fill="auto"/>
            <w:vAlign w:val="center"/>
          </w:tcPr>
          <w:p w14:paraId="230BA6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827" w:type="dxa"/>
            <w:tcBorders>
              <w:top w:val="single" w:color="000000" w:sz="4" w:space="0"/>
              <w:left w:val="single" w:color="000000" w:sz="4" w:space="0"/>
              <w:right w:val="single" w:color="000000" w:sz="4" w:space="0"/>
            </w:tcBorders>
            <w:shd w:val="clear" w:color="auto" w:fill="auto"/>
            <w:vAlign w:val="center"/>
          </w:tcPr>
          <w:p w14:paraId="27DF98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审查逮捕案件结案</w:t>
            </w:r>
          </w:p>
        </w:tc>
        <w:tc>
          <w:tcPr>
            <w:tcW w:w="596" w:type="dxa"/>
            <w:tcBorders>
              <w:top w:val="single" w:color="000000" w:sz="4" w:space="0"/>
              <w:left w:val="single" w:color="000000" w:sz="4" w:space="0"/>
              <w:right w:val="single" w:color="000000" w:sz="4" w:space="0"/>
            </w:tcBorders>
            <w:shd w:val="clear" w:color="auto" w:fill="auto"/>
            <w:vAlign w:val="center"/>
          </w:tcPr>
          <w:p w14:paraId="4A0DE8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0" w:type="dxa"/>
            <w:tcBorders>
              <w:top w:val="single" w:color="000000" w:sz="4" w:space="0"/>
              <w:left w:val="single" w:color="000000" w:sz="4" w:space="0"/>
              <w:right w:val="single" w:color="000000" w:sz="4" w:space="0"/>
            </w:tcBorders>
            <w:shd w:val="clear" w:color="auto" w:fill="auto"/>
            <w:vAlign w:val="center"/>
          </w:tcPr>
          <w:p w14:paraId="20039C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19" w:type="dxa"/>
            <w:tcBorders>
              <w:top w:val="single" w:color="000000" w:sz="4" w:space="0"/>
              <w:left w:val="single" w:color="000000" w:sz="4" w:space="0"/>
              <w:right w:val="single" w:color="000000" w:sz="4" w:space="0"/>
            </w:tcBorders>
            <w:shd w:val="clear" w:color="auto" w:fill="auto"/>
            <w:vAlign w:val="center"/>
          </w:tcPr>
          <w:p w14:paraId="265546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94" w:type="dxa"/>
            <w:tcBorders>
              <w:top w:val="single" w:color="000000" w:sz="4" w:space="0"/>
              <w:left w:val="single" w:color="000000" w:sz="4" w:space="0"/>
              <w:right w:val="single" w:color="000000" w:sz="4" w:space="0"/>
            </w:tcBorders>
            <w:shd w:val="clear" w:color="auto" w:fill="auto"/>
            <w:vAlign w:val="center"/>
          </w:tcPr>
          <w:p w14:paraId="3CC22C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655" w:type="dxa"/>
            <w:tcBorders>
              <w:top w:val="single" w:color="000000" w:sz="4" w:space="0"/>
              <w:left w:val="single" w:color="000000" w:sz="4" w:space="0"/>
              <w:right w:val="single" w:color="000000" w:sz="4" w:space="0"/>
            </w:tcBorders>
            <w:shd w:val="clear" w:color="auto" w:fill="auto"/>
            <w:vAlign w:val="center"/>
          </w:tcPr>
          <w:p w14:paraId="21BC94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天</w:t>
            </w:r>
          </w:p>
        </w:tc>
        <w:tc>
          <w:tcPr>
            <w:tcW w:w="617" w:type="dxa"/>
            <w:tcBorders>
              <w:top w:val="single" w:color="000000" w:sz="4" w:space="0"/>
              <w:left w:val="single" w:color="000000" w:sz="4" w:space="0"/>
              <w:right w:val="single" w:color="000000" w:sz="4" w:space="0"/>
            </w:tcBorders>
            <w:shd w:val="clear" w:color="auto" w:fill="auto"/>
            <w:vAlign w:val="center"/>
          </w:tcPr>
          <w:p w14:paraId="0B5203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1DBDBC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1C163209">
            <w:pPr>
              <w:jc w:val="center"/>
              <w:rPr>
                <w:rFonts w:hint="eastAsia" w:ascii="宋体" w:hAnsi="宋体" w:eastAsia="宋体" w:cs="宋体"/>
                <w:i w:val="0"/>
                <w:color w:val="000000"/>
                <w:sz w:val="18"/>
                <w:szCs w:val="18"/>
                <w:u w:val="none"/>
              </w:rPr>
            </w:pPr>
          </w:p>
        </w:tc>
      </w:tr>
      <w:tr w14:paraId="5BE3C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03A1952B">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382A24F5">
            <w:pPr>
              <w:jc w:val="center"/>
              <w:rPr>
                <w:rFonts w:hint="eastAsia" w:ascii="宋体" w:hAnsi="宋体" w:eastAsia="宋体" w:cs="宋体"/>
                <w:i w:val="0"/>
                <w:color w:val="000000"/>
                <w:sz w:val="18"/>
                <w:szCs w:val="18"/>
                <w:u w:val="none"/>
              </w:rPr>
            </w:pPr>
          </w:p>
        </w:tc>
        <w:tc>
          <w:tcPr>
            <w:tcW w:w="724" w:type="dxa"/>
            <w:vMerge w:val="continue"/>
            <w:tcBorders>
              <w:top w:val="single" w:color="000000" w:sz="4" w:space="0"/>
              <w:left w:val="single" w:color="000000" w:sz="4" w:space="0"/>
              <w:right w:val="single" w:color="000000" w:sz="4" w:space="0"/>
            </w:tcBorders>
            <w:shd w:val="clear" w:color="auto" w:fill="auto"/>
            <w:vAlign w:val="center"/>
          </w:tcPr>
          <w:p w14:paraId="5DF2646A">
            <w:pPr>
              <w:jc w:val="center"/>
              <w:rPr>
                <w:rFonts w:hint="eastAsia" w:ascii="宋体" w:hAnsi="宋体" w:eastAsia="宋体" w:cs="宋体"/>
                <w:i w:val="0"/>
                <w:color w:val="000000"/>
                <w:sz w:val="18"/>
                <w:szCs w:val="18"/>
                <w:u w:val="none"/>
              </w:rPr>
            </w:pPr>
          </w:p>
        </w:tc>
        <w:tc>
          <w:tcPr>
            <w:tcW w:w="827" w:type="dxa"/>
            <w:tcBorders>
              <w:top w:val="single" w:color="000000" w:sz="4" w:space="0"/>
              <w:left w:val="single" w:color="000000" w:sz="4" w:space="0"/>
              <w:right w:val="single" w:color="000000" w:sz="4" w:space="0"/>
            </w:tcBorders>
            <w:shd w:val="clear" w:color="auto" w:fill="auto"/>
            <w:vAlign w:val="center"/>
          </w:tcPr>
          <w:p w14:paraId="4CA41F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受理案件及时率</w:t>
            </w:r>
          </w:p>
        </w:tc>
        <w:tc>
          <w:tcPr>
            <w:tcW w:w="596" w:type="dxa"/>
            <w:tcBorders>
              <w:top w:val="single" w:color="000000" w:sz="4" w:space="0"/>
              <w:left w:val="single" w:color="000000" w:sz="4" w:space="0"/>
              <w:right w:val="single" w:color="000000" w:sz="4" w:space="0"/>
            </w:tcBorders>
            <w:shd w:val="clear" w:color="auto" w:fill="auto"/>
            <w:vAlign w:val="center"/>
          </w:tcPr>
          <w:p w14:paraId="23BA58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正向</w:t>
            </w:r>
          </w:p>
        </w:tc>
        <w:tc>
          <w:tcPr>
            <w:tcW w:w="720" w:type="dxa"/>
            <w:tcBorders>
              <w:top w:val="single" w:color="000000" w:sz="4" w:space="0"/>
              <w:left w:val="single" w:color="000000" w:sz="4" w:space="0"/>
              <w:right w:val="single" w:color="000000" w:sz="4" w:space="0"/>
            </w:tcBorders>
            <w:shd w:val="clear" w:color="auto" w:fill="auto"/>
            <w:vAlign w:val="center"/>
          </w:tcPr>
          <w:p w14:paraId="10EDAE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w:t>
            </w:r>
          </w:p>
        </w:tc>
        <w:tc>
          <w:tcPr>
            <w:tcW w:w="719" w:type="dxa"/>
            <w:tcBorders>
              <w:top w:val="single" w:color="000000" w:sz="4" w:space="0"/>
              <w:left w:val="single" w:color="000000" w:sz="4" w:space="0"/>
              <w:right w:val="single" w:color="000000" w:sz="4" w:space="0"/>
            </w:tcBorders>
            <w:shd w:val="clear" w:color="auto" w:fill="auto"/>
            <w:vAlign w:val="center"/>
          </w:tcPr>
          <w:p w14:paraId="15ECCB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694" w:type="dxa"/>
            <w:tcBorders>
              <w:top w:val="single" w:color="000000" w:sz="4" w:space="0"/>
              <w:left w:val="single" w:color="000000" w:sz="4" w:space="0"/>
              <w:right w:val="single" w:color="000000" w:sz="4" w:space="0"/>
            </w:tcBorders>
            <w:shd w:val="clear" w:color="auto" w:fill="auto"/>
            <w:vAlign w:val="center"/>
          </w:tcPr>
          <w:p w14:paraId="3F003D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55" w:type="dxa"/>
            <w:tcBorders>
              <w:top w:val="single" w:color="000000" w:sz="4" w:space="0"/>
              <w:left w:val="single" w:color="000000" w:sz="4" w:space="0"/>
              <w:right w:val="single" w:color="000000" w:sz="4" w:space="0"/>
            </w:tcBorders>
            <w:shd w:val="clear" w:color="auto" w:fill="auto"/>
            <w:vAlign w:val="center"/>
          </w:tcPr>
          <w:p w14:paraId="1A19E1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17" w:type="dxa"/>
            <w:tcBorders>
              <w:top w:val="single" w:color="000000" w:sz="4" w:space="0"/>
              <w:left w:val="single" w:color="000000" w:sz="4" w:space="0"/>
              <w:right w:val="single" w:color="000000" w:sz="4" w:space="0"/>
            </w:tcBorders>
            <w:shd w:val="clear" w:color="auto" w:fill="auto"/>
            <w:vAlign w:val="center"/>
          </w:tcPr>
          <w:p w14:paraId="204E31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326EB8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578A5340">
            <w:pPr>
              <w:jc w:val="center"/>
              <w:rPr>
                <w:rFonts w:hint="eastAsia" w:ascii="宋体" w:hAnsi="宋体" w:eastAsia="宋体" w:cs="宋体"/>
                <w:i w:val="0"/>
                <w:color w:val="000000"/>
                <w:sz w:val="18"/>
                <w:szCs w:val="18"/>
                <w:u w:val="none"/>
              </w:rPr>
            </w:pPr>
          </w:p>
        </w:tc>
      </w:tr>
      <w:tr w14:paraId="3C96C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40998D99">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03462E0A">
            <w:pPr>
              <w:jc w:val="center"/>
              <w:rPr>
                <w:rFonts w:hint="eastAsia" w:ascii="宋体" w:hAnsi="宋体" w:eastAsia="宋体" w:cs="宋体"/>
                <w:i w:val="0"/>
                <w:color w:val="000000"/>
                <w:sz w:val="18"/>
                <w:szCs w:val="18"/>
                <w:u w:val="none"/>
              </w:rPr>
            </w:pPr>
          </w:p>
        </w:tc>
        <w:tc>
          <w:tcPr>
            <w:tcW w:w="724" w:type="dxa"/>
            <w:vMerge w:val="restart"/>
            <w:tcBorders>
              <w:top w:val="single" w:color="000000" w:sz="4" w:space="0"/>
              <w:left w:val="single" w:color="000000" w:sz="4" w:space="0"/>
              <w:right w:val="single" w:color="000000" w:sz="4" w:space="0"/>
            </w:tcBorders>
            <w:shd w:val="clear" w:color="auto" w:fill="auto"/>
            <w:vAlign w:val="center"/>
          </w:tcPr>
          <w:p w14:paraId="50B2D3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827" w:type="dxa"/>
            <w:tcBorders>
              <w:top w:val="single" w:color="000000" w:sz="4" w:space="0"/>
              <w:left w:val="single" w:color="000000" w:sz="4" w:space="0"/>
              <w:right w:val="single" w:color="000000" w:sz="4" w:space="0"/>
            </w:tcBorders>
            <w:shd w:val="clear" w:color="auto" w:fill="auto"/>
            <w:vAlign w:val="center"/>
          </w:tcPr>
          <w:p w14:paraId="62FE2D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人均办案成本</w:t>
            </w:r>
          </w:p>
        </w:tc>
        <w:tc>
          <w:tcPr>
            <w:tcW w:w="596" w:type="dxa"/>
            <w:tcBorders>
              <w:top w:val="single" w:color="000000" w:sz="4" w:space="0"/>
              <w:left w:val="single" w:color="000000" w:sz="4" w:space="0"/>
              <w:right w:val="single" w:color="000000" w:sz="4" w:space="0"/>
            </w:tcBorders>
            <w:shd w:val="clear" w:color="auto" w:fill="auto"/>
            <w:vAlign w:val="center"/>
          </w:tcPr>
          <w:p w14:paraId="286699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0" w:type="dxa"/>
            <w:tcBorders>
              <w:top w:val="single" w:color="000000" w:sz="4" w:space="0"/>
              <w:left w:val="single" w:color="000000" w:sz="4" w:space="0"/>
              <w:right w:val="single" w:color="000000" w:sz="4" w:space="0"/>
            </w:tcBorders>
            <w:shd w:val="clear" w:color="auto" w:fill="auto"/>
            <w:vAlign w:val="center"/>
          </w:tcPr>
          <w:p w14:paraId="345FA5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19" w:type="dxa"/>
            <w:tcBorders>
              <w:top w:val="single" w:color="000000" w:sz="4" w:space="0"/>
              <w:left w:val="single" w:color="000000" w:sz="4" w:space="0"/>
              <w:right w:val="single" w:color="000000" w:sz="4" w:space="0"/>
            </w:tcBorders>
            <w:shd w:val="clear" w:color="auto" w:fill="auto"/>
            <w:vAlign w:val="center"/>
          </w:tcPr>
          <w:p w14:paraId="7F31D2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w:t>
            </w:r>
          </w:p>
        </w:tc>
        <w:tc>
          <w:tcPr>
            <w:tcW w:w="694" w:type="dxa"/>
            <w:tcBorders>
              <w:top w:val="single" w:color="000000" w:sz="4" w:space="0"/>
              <w:left w:val="single" w:color="000000" w:sz="4" w:space="0"/>
              <w:right w:val="single" w:color="000000" w:sz="4" w:space="0"/>
            </w:tcBorders>
            <w:shd w:val="clear" w:color="auto" w:fill="auto"/>
            <w:vAlign w:val="center"/>
          </w:tcPr>
          <w:p w14:paraId="322A0E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5.58</w:t>
            </w:r>
          </w:p>
        </w:tc>
        <w:tc>
          <w:tcPr>
            <w:tcW w:w="655" w:type="dxa"/>
            <w:tcBorders>
              <w:top w:val="single" w:color="000000" w:sz="4" w:space="0"/>
              <w:left w:val="single" w:color="000000" w:sz="4" w:space="0"/>
              <w:right w:val="single" w:color="000000" w:sz="4" w:space="0"/>
            </w:tcBorders>
            <w:shd w:val="clear" w:color="auto" w:fill="auto"/>
            <w:vAlign w:val="center"/>
          </w:tcPr>
          <w:p w14:paraId="75F507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w:t>
            </w:r>
          </w:p>
        </w:tc>
        <w:tc>
          <w:tcPr>
            <w:tcW w:w="617" w:type="dxa"/>
            <w:tcBorders>
              <w:top w:val="single" w:color="000000" w:sz="4" w:space="0"/>
              <w:left w:val="single" w:color="000000" w:sz="4" w:space="0"/>
              <w:right w:val="single" w:color="000000" w:sz="4" w:space="0"/>
            </w:tcBorders>
            <w:shd w:val="clear" w:color="auto" w:fill="auto"/>
            <w:vAlign w:val="center"/>
          </w:tcPr>
          <w:p w14:paraId="130384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722F0B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25E75B29">
            <w:pPr>
              <w:jc w:val="center"/>
              <w:rPr>
                <w:rFonts w:hint="eastAsia" w:ascii="宋体" w:hAnsi="宋体" w:eastAsia="宋体" w:cs="宋体"/>
                <w:i w:val="0"/>
                <w:color w:val="000000"/>
                <w:sz w:val="18"/>
                <w:szCs w:val="18"/>
                <w:u w:val="none"/>
              </w:rPr>
            </w:pPr>
          </w:p>
        </w:tc>
      </w:tr>
      <w:tr w14:paraId="617C6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5BD8755A">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42226B9E">
            <w:pPr>
              <w:jc w:val="center"/>
              <w:rPr>
                <w:rFonts w:hint="eastAsia" w:ascii="宋体" w:hAnsi="宋体" w:eastAsia="宋体" w:cs="宋体"/>
                <w:i w:val="0"/>
                <w:color w:val="000000"/>
                <w:sz w:val="18"/>
                <w:szCs w:val="18"/>
                <w:u w:val="none"/>
              </w:rPr>
            </w:pPr>
          </w:p>
        </w:tc>
        <w:tc>
          <w:tcPr>
            <w:tcW w:w="724" w:type="dxa"/>
            <w:vMerge w:val="continue"/>
            <w:tcBorders>
              <w:top w:val="single" w:color="000000" w:sz="4" w:space="0"/>
              <w:left w:val="single" w:color="000000" w:sz="4" w:space="0"/>
              <w:right w:val="single" w:color="000000" w:sz="4" w:space="0"/>
            </w:tcBorders>
            <w:shd w:val="clear" w:color="auto" w:fill="auto"/>
            <w:vAlign w:val="center"/>
          </w:tcPr>
          <w:p w14:paraId="46C31499">
            <w:pPr>
              <w:jc w:val="center"/>
              <w:rPr>
                <w:rFonts w:hint="eastAsia" w:ascii="宋体" w:hAnsi="宋体" w:eastAsia="宋体" w:cs="宋体"/>
                <w:i w:val="0"/>
                <w:color w:val="000000"/>
                <w:sz w:val="18"/>
                <w:szCs w:val="18"/>
                <w:u w:val="none"/>
              </w:rPr>
            </w:pPr>
          </w:p>
        </w:tc>
        <w:tc>
          <w:tcPr>
            <w:tcW w:w="827" w:type="dxa"/>
            <w:tcBorders>
              <w:top w:val="single" w:color="000000" w:sz="4" w:space="0"/>
              <w:left w:val="single" w:color="000000" w:sz="4" w:space="0"/>
              <w:right w:val="single" w:color="000000" w:sz="4" w:space="0"/>
            </w:tcBorders>
            <w:shd w:val="clear" w:color="auto" w:fill="auto"/>
            <w:vAlign w:val="center"/>
          </w:tcPr>
          <w:p w14:paraId="60888C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设备维修成本</w:t>
            </w:r>
          </w:p>
        </w:tc>
        <w:tc>
          <w:tcPr>
            <w:tcW w:w="596" w:type="dxa"/>
            <w:tcBorders>
              <w:top w:val="single" w:color="000000" w:sz="4" w:space="0"/>
              <w:left w:val="single" w:color="000000" w:sz="4" w:space="0"/>
              <w:right w:val="single" w:color="000000" w:sz="4" w:space="0"/>
            </w:tcBorders>
            <w:shd w:val="clear" w:color="auto" w:fill="auto"/>
            <w:vAlign w:val="center"/>
          </w:tcPr>
          <w:p w14:paraId="4D0FF0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0" w:type="dxa"/>
            <w:tcBorders>
              <w:top w:val="single" w:color="000000" w:sz="4" w:space="0"/>
              <w:left w:val="single" w:color="000000" w:sz="4" w:space="0"/>
              <w:right w:val="single" w:color="000000" w:sz="4" w:space="0"/>
            </w:tcBorders>
            <w:shd w:val="clear" w:color="auto" w:fill="auto"/>
            <w:vAlign w:val="center"/>
          </w:tcPr>
          <w:p w14:paraId="12BEBB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19" w:type="dxa"/>
            <w:tcBorders>
              <w:top w:val="single" w:color="000000" w:sz="4" w:space="0"/>
              <w:left w:val="single" w:color="000000" w:sz="4" w:space="0"/>
              <w:right w:val="single" w:color="000000" w:sz="4" w:space="0"/>
            </w:tcBorders>
            <w:shd w:val="clear" w:color="auto" w:fill="auto"/>
            <w:vAlign w:val="center"/>
          </w:tcPr>
          <w:p w14:paraId="4A5939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94" w:type="dxa"/>
            <w:tcBorders>
              <w:top w:val="single" w:color="000000" w:sz="4" w:space="0"/>
              <w:left w:val="single" w:color="000000" w:sz="4" w:space="0"/>
              <w:right w:val="single" w:color="000000" w:sz="4" w:space="0"/>
            </w:tcBorders>
            <w:shd w:val="clear" w:color="auto" w:fill="auto"/>
            <w:vAlign w:val="center"/>
          </w:tcPr>
          <w:p w14:paraId="5A3ED2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655" w:type="dxa"/>
            <w:tcBorders>
              <w:top w:val="single" w:color="000000" w:sz="4" w:space="0"/>
              <w:left w:val="single" w:color="000000" w:sz="4" w:space="0"/>
              <w:right w:val="single" w:color="000000" w:sz="4" w:space="0"/>
            </w:tcBorders>
            <w:shd w:val="clear" w:color="auto" w:fill="auto"/>
            <w:vAlign w:val="center"/>
          </w:tcPr>
          <w:p w14:paraId="3EE11D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w:t>
            </w:r>
          </w:p>
        </w:tc>
        <w:tc>
          <w:tcPr>
            <w:tcW w:w="617" w:type="dxa"/>
            <w:tcBorders>
              <w:top w:val="single" w:color="000000" w:sz="4" w:space="0"/>
              <w:left w:val="single" w:color="000000" w:sz="4" w:space="0"/>
              <w:right w:val="single" w:color="000000" w:sz="4" w:space="0"/>
            </w:tcBorders>
            <w:shd w:val="clear" w:color="auto" w:fill="auto"/>
            <w:vAlign w:val="center"/>
          </w:tcPr>
          <w:p w14:paraId="5920C6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5B258F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3B2F827D">
            <w:pPr>
              <w:jc w:val="center"/>
              <w:rPr>
                <w:rFonts w:hint="eastAsia" w:ascii="宋体" w:hAnsi="宋体" w:eastAsia="宋体" w:cs="宋体"/>
                <w:i w:val="0"/>
                <w:color w:val="000000"/>
                <w:sz w:val="18"/>
                <w:szCs w:val="18"/>
                <w:u w:val="none"/>
              </w:rPr>
            </w:pPr>
          </w:p>
        </w:tc>
      </w:tr>
      <w:tr w14:paraId="2E205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4E811197">
            <w:pPr>
              <w:jc w:val="center"/>
              <w:rPr>
                <w:rFonts w:hint="eastAsia" w:ascii="宋体" w:hAnsi="宋体" w:eastAsia="宋体" w:cs="宋体"/>
                <w:i w:val="0"/>
                <w:color w:val="000000"/>
                <w:sz w:val="18"/>
                <w:szCs w:val="18"/>
                <w:u w:val="none"/>
              </w:rPr>
            </w:pPr>
          </w:p>
        </w:tc>
        <w:tc>
          <w:tcPr>
            <w:tcW w:w="680" w:type="dxa"/>
            <w:vMerge w:val="restart"/>
            <w:tcBorders>
              <w:top w:val="single" w:color="000000" w:sz="4" w:space="0"/>
              <w:left w:val="single" w:color="000000" w:sz="4" w:space="0"/>
              <w:right w:val="single" w:color="000000" w:sz="4" w:space="0"/>
            </w:tcBorders>
            <w:shd w:val="clear" w:color="auto" w:fill="auto"/>
            <w:vAlign w:val="center"/>
          </w:tcPr>
          <w:p w14:paraId="1E49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724" w:type="dxa"/>
            <w:tcBorders>
              <w:top w:val="single" w:color="000000" w:sz="4" w:space="0"/>
              <w:left w:val="single" w:color="000000" w:sz="4" w:space="0"/>
              <w:right w:val="single" w:color="000000" w:sz="4" w:space="0"/>
            </w:tcBorders>
            <w:shd w:val="clear" w:color="auto" w:fill="auto"/>
            <w:vAlign w:val="center"/>
          </w:tcPr>
          <w:p w14:paraId="5DDC8E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w:t>
            </w:r>
          </w:p>
        </w:tc>
        <w:tc>
          <w:tcPr>
            <w:tcW w:w="827" w:type="dxa"/>
            <w:tcBorders>
              <w:top w:val="single" w:color="000000" w:sz="4" w:space="0"/>
              <w:left w:val="single" w:color="000000" w:sz="4" w:space="0"/>
              <w:right w:val="single" w:color="000000" w:sz="4" w:space="0"/>
            </w:tcBorders>
            <w:shd w:val="clear" w:color="auto" w:fill="auto"/>
            <w:vAlign w:val="center"/>
          </w:tcPr>
          <w:p w14:paraId="5AF041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产生的经济效益</w:t>
            </w:r>
          </w:p>
        </w:tc>
        <w:tc>
          <w:tcPr>
            <w:tcW w:w="596" w:type="dxa"/>
            <w:tcBorders>
              <w:top w:val="single" w:color="000000" w:sz="4" w:space="0"/>
              <w:left w:val="single" w:color="000000" w:sz="4" w:space="0"/>
              <w:right w:val="single" w:color="000000" w:sz="4" w:space="0"/>
            </w:tcBorders>
            <w:shd w:val="clear" w:color="auto" w:fill="auto"/>
            <w:vAlign w:val="center"/>
          </w:tcPr>
          <w:p w14:paraId="31D682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20" w:type="dxa"/>
            <w:tcBorders>
              <w:top w:val="single" w:color="000000" w:sz="4" w:space="0"/>
              <w:left w:val="single" w:color="000000" w:sz="4" w:space="0"/>
              <w:right w:val="single" w:color="000000" w:sz="4" w:space="0"/>
            </w:tcBorders>
            <w:shd w:val="clear" w:color="auto" w:fill="auto"/>
            <w:vAlign w:val="center"/>
          </w:tcPr>
          <w:p w14:paraId="2715A9AC">
            <w:pPr>
              <w:jc w:val="center"/>
              <w:rPr>
                <w:rFonts w:hint="eastAsia" w:ascii="宋体" w:hAnsi="宋体" w:eastAsia="宋体" w:cs="宋体"/>
                <w:i w:val="0"/>
                <w:color w:val="000000"/>
                <w:sz w:val="18"/>
                <w:szCs w:val="18"/>
                <w:u w:val="none"/>
              </w:rPr>
            </w:pPr>
          </w:p>
        </w:tc>
        <w:tc>
          <w:tcPr>
            <w:tcW w:w="719" w:type="dxa"/>
            <w:tcBorders>
              <w:top w:val="single" w:color="000000" w:sz="4" w:space="0"/>
              <w:left w:val="single" w:color="000000" w:sz="4" w:space="0"/>
              <w:right w:val="single" w:color="000000" w:sz="4" w:space="0"/>
            </w:tcBorders>
            <w:shd w:val="clear" w:color="auto" w:fill="auto"/>
            <w:vAlign w:val="center"/>
          </w:tcPr>
          <w:p w14:paraId="0F17ED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优良中差</w:t>
            </w:r>
          </w:p>
        </w:tc>
        <w:tc>
          <w:tcPr>
            <w:tcW w:w="694" w:type="dxa"/>
            <w:tcBorders>
              <w:top w:val="single" w:color="000000" w:sz="4" w:space="0"/>
              <w:left w:val="single" w:color="000000" w:sz="4" w:space="0"/>
              <w:right w:val="single" w:color="000000" w:sz="4" w:space="0"/>
            </w:tcBorders>
            <w:shd w:val="clear" w:color="auto" w:fill="auto"/>
            <w:vAlign w:val="center"/>
          </w:tcPr>
          <w:p w14:paraId="0E0586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655" w:type="dxa"/>
            <w:tcBorders>
              <w:top w:val="single" w:color="000000" w:sz="4" w:space="0"/>
              <w:left w:val="single" w:color="000000" w:sz="4" w:space="0"/>
              <w:right w:val="single" w:color="000000" w:sz="4" w:space="0"/>
            </w:tcBorders>
            <w:shd w:val="clear" w:color="auto" w:fill="auto"/>
            <w:vAlign w:val="center"/>
          </w:tcPr>
          <w:p w14:paraId="2EEB5154">
            <w:pPr>
              <w:jc w:val="center"/>
              <w:rPr>
                <w:rFonts w:hint="eastAsia" w:ascii="宋体" w:hAnsi="宋体" w:eastAsia="宋体" w:cs="宋体"/>
                <w:i w:val="0"/>
                <w:color w:val="000000"/>
                <w:sz w:val="18"/>
                <w:szCs w:val="18"/>
                <w:u w:val="none"/>
              </w:rPr>
            </w:pPr>
          </w:p>
        </w:tc>
        <w:tc>
          <w:tcPr>
            <w:tcW w:w="617" w:type="dxa"/>
            <w:tcBorders>
              <w:top w:val="single" w:color="000000" w:sz="4" w:space="0"/>
              <w:left w:val="single" w:color="000000" w:sz="4" w:space="0"/>
              <w:right w:val="single" w:color="000000" w:sz="4" w:space="0"/>
            </w:tcBorders>
            <w:shd w:val="clear" w:color="auto" w:fill="auto"/>
            <w:vAlign w:val="center"/>
          </w:tcPr>
          <w:p w14:paraId="71671D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8" w:type="dxa"/>
            <w:tcBorders>
              <w:top w:val="single" w:color="000000" w:sz="4" w:space="0"/>
              <w:left w:val="single" w:color="000000" w:sz="4" w:space="0"/>
              <w:right w:val="single" w:color="000000" w:sz="4" w:space="0"/>
            </w:tcBorders>
            <w:shd w:val="clear" w:color="auto" w:fill="auto"/>
            <w:vAlign w:val="center"/>
          </w:tcPr>
          <w:p w14:paraId="67BB53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90" w:type="dxa"/>
            <w:tcBorders>
              <w:top w:val="single" w:color="000000" w:sz="4" w:space="0"/>
              <w:left w:val="single" w:color="000000" w:sz="4" w:space="0"/>
              <w:right w:val="single" w:color="000000" w:sz="4" w:space="0"/>
            </w:tcBorders>
            <w:shd w:val="clear" w:color="auto" w:fill="auto"/>
            <w:vAlign w:val="center"/>
          </w:tcPr>
          <w:p w14:paraId="6D43C82A">
            <w:pPr>
              <w:jc w:val="center"/>
              <w:rPr>
                <w:rFonts w:hint="eastAsia" w:ascii="宋体" w:hAnsi="宋体" w:eastAsia="宋体" w:cs="宋体"/>
                <w:i w:val="0"/>
                <w:color w:val="000000"/>
                <w:sz w:val="18"/>
                <w:szCs w:val="18"/>
                <w:u w:val="none"/>
              </w:rPr>
            </w:pPr>
          </w:p>
        </w:tc>
      </w:tr>
      <w:tr w14:paraId="4342F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42C689E6">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1C124847">
            <w:pPr>
              <w:jc w:val="center"/>
              <w:rPr>
                <w:rFonts w:hint="eastAsia" w:ascii="宋体" w:hAnsi="宋体" w:eastAsia="宋体" w:cs="宋体"/>
                <w:i w:val="0"/>
                <w:color w:val="000000"/>
                <w:sz w:val="18"/>
                <w:szCs w:val="18"/>
                <w:u w:val="none"/>
              </w:rPr>
            </w:pPr>
          </w:p>
        </w:tc>
        <w:tc>
          <w:tcPr>
            <w:tcW w:w="724" w:type="dxa"/>
            <w:tcBorders>
              <w:top w:val="single" w:color="000000" w:sz="4" w:space="0"/>
              <w:left w:val="single" w:color="000000" w:sz="4" w:space="0"/>
              <w:right w:val="single" w:color="000000" w:sz="4" w:space="0"/>
            </w:tcBorders>
            <w:shd w:val="clear" w:color="auto" w:fill="auto"/>
            <w:vAlign w:val="center"/>
          </w:tcPr>
          <w:p w14:paraId="4703DA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w:t>
            </w:r>
          </w:p>
        </w:tc>
        <w:tc>
          <w:tcPr>
            <w:tcW w:w="827" w:type="dxa"/>
            <w:tcBorders>
              <w:top w:val="single" w:color="000000" w:sz="4" w:space="0"/>
              <w:left w:val="single" w:color="000000" w:sz="4" w:space="0"/>
              <w:right w:val="single" w:color="000000" w:sz="4" w:space="0"/>
            </w:tcBorders>
            <w:shd w:val="clear" w:color="auto" w:fill="auto"/>
            <w:vAlign w:val="center"/>
          </w:tcPr>
          <w:p w14:paraId="319FED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办案效率</w:t>
            </w:r>
          </w:p>
        </w:tc>
        <w:tc>
          <w:tcPr>
            <w:tcW w:w="596" w:type="dxa"/>
            <w:tcBorders>
              <w:top w:val="single" w:color="000000" w:sz="4" w:space="0"/>
              <w:left w:val="single" w:color="000000" w:sz="4" w:space="0"/>
              <w:right w:val="single" w:color="000000" w:sz="4" w:space="0"/>
            </w:tcBorders>
            <w:shd w:val="clear" w:color="auto" w:fill="auto"/>
            <w:vAlign w:val="center"/>
          </w:tcPr>
          <w:p w14:paraId="14E5F0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20" w:type="dxa"/>
            <w:tcBorders>
              <w:top w:val="single" w:color="000000" w:sz="4" w:space="0"/>
              <w:left w:val="single" w:color="000000" w:sz="4" w:space="0"/>
              <w:right w:val="single" w:color="000000" w:sz="4" w:space="0"/>
            </w:tcBorders>
            <w:shd w:val="clear" w:color="auto" w:fill="auto"/>
            <w:vAlign w:val="center"/>
          </w:tcPr>
          <w:p w14:paraId="0E35593D">
            <w:pPr>
              <w:jc w:val="center"/>
              <w:rPr>
                <w:rFonts w:hint="eastAsia" w:ascii="宋体" w:hAnsi="宋体" w:eastAsia="宋体" w:cs="宋体"/>
                <w:i w:val="0"/>
                <w:color w:val="000000"/>
                <w:sz w:val="18"/>
                <w:szCs w:val="18"/>
                <w:u w:val="none"/>
              </w:rPr>
            </w:pPr>
          </w:p>
        </w:tc>
        <w:tc>
          <w:tcPr>
            <w:tcW w:w="719" w:type="dxa"/>
            <w:tcBorders>
              <w:top w:val="single" w:color="000000" w:sz="4" w:space="0"/>
              <w:left w:val="single" w:color="000000" w:sz="4" w:space="0"/>
              <w:right w:val="single" w:color="000000" w:sz="4" w:space="0"/>
            </w:tcBorders>
            <w:shd w:val="clear" w:color="auto" w:fill="auto"/>
            <w:vAlign w:val="center"/>
          </w:tcPr>
          <w:p w14:paraId="15DFF9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694" w:type="dxa"/>
            <w:tcBorders>
              <w:top w:val="single" w:color="000000" w:sz="4" w:space="0"/>
              <w:left w:val="single" w:color="000000" w:sz="4" w:space="0"/>
              <w:right w:val="single" w:color="000000" w:sz="4" w:space="0"/>
            </w:tcBorders>
            <w:shd w:val="clear" w:color="auto" w:fill="auto"/>
            <w:vAlign w:val="center"/>
          </w:tcPr>
          <w:p w14:paraId="75C522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655" w:type="dxa"/>
            <w:tcBorders>
              <w:top w:val="single" w:color="000000" w:sz="4" w:space="0"/>
              <w:left w:val="single" w:color="000000" w:sz="4" w:space="0"/>
              <w:right w:val="single" w:color="000000" w:sz="4" w:space="0"/>
            </w:tcBorders>
            <w:shd w:val="clear" w:color="auto" w:fill="auto"/>
            <w:vAlign w:val="center"/>
          </w:tcPr>
          <w:p w14:paraId="243C15E5">
            <w:pPr>
              <w:jc w:val="center"/>
              <w:rPr>
                <w:rFonts w:hint="eastAsia" w:ascii="宋体" w:hAnsi="宋体" w:eastAsia="宋体" w:cs="宋体"/>
                <w:i w:val="0"/>
                <w:color w:val="000000"/>
                <w:sz w:val="18"/>
                <w:szCs w:val="18"/>
                <w:u w:val="none"/>
              </w:rPr>
            </w:pPr>
          </w:p>
        </w:tc>
        <w:tc>
          <w:tcPr>
            <w:tcW w:w="617" w:type="dxa"/>
            <w:tcBorders>
              <w:top w:val="single" w:color="000000" w:sz="4" w:space="0"/>
              <w:left w:val="single" w:color="000000" w:sz="4" w:space="0"/>
              <w:right w:val="single" w:color="000000" w:sz="4" w:space="0"/>
            </w:tcBorders>
            <w:shd w:val="clear" w:color="auto" w:fill="auto"/>
            <w:vAlign w:val="center"/>
          </w:tcPr>
          <w:p w14:paraId="55CC52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8" w:type="dxa"/>
            <w:tcBorders>
              <w:top w:val="single" w:color="000000" w:sz="4" w:space="0"/>
              <w:left w:val="single" w:color="000000" w:sz="4" w:space="0"/>
              <w:right w:val="single" w:color="000000" w:sz="4" w:space="0"/>
            </w:tcBorders>
            <w:shd w:val="clear" w:color="auto" w:fill="auto"/>
            <w:vAlign w:val="center"/>
          </w:tcPr>
          <w:p w14:paraId="6CFA0A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90" w:type="dxa"/>
            <w:tcBorders>
              <w:top w:val="single" w:color="000000" w:sz="4" w:space="0"/>
              <w:left w:val="single" w:color="000000" w:sz="4" w:space="0"/>
              <w:right w:val="single" w:color="000000" w:sz="4" w:space="0"/>
            </w:tcBorders>
            <w:shd w:val="clear" w:color="auto" w:fill="auto"/>
            <w:vAlign w:val="center"/>
          </w:tcPr>
          <w:p w14:paraId="57815BF9">
            <w:pPr>
              <w:jc w:val="center"/>
              <w:rPr>
                <w:rFonts w:hint="eastAsia" w:ascii="宋体" w:hAnsi="宋体" w:eastAsia="宋体" w:cs="宋体"/>
                <w:i w:val="0"/>
                <w:color w:val="000000"/>
                <w:sz w:val="18"/>
                <w:szCs w:val="18"/>
                <w:u w:val="none"/>
              </w:rPr>
            </w:pPr>
          </w:p>
        </w:tc>
      </w:tr>
      <w:tr w14:paraId="7EEB3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422019D1">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7F384E6E">
            <w:pPr>
              <w:jc w:val="center"/>
              <w:rPr>
                <w:rFonts w:hint="eastAsia" w:ascii="宋体" w:hAnsi="宋体" w:eastAsia="宋体" w:cs="宋体"/>
                <w:i w:val="0"/>
                <w:color w:val="000000"/>
                <w:sz w:val="18"/>
                <w:szCs w:val="18"/>
                <w:u w:val="none"/>
              </w:rPr>
            </w:pPr>
          </w:p>
        </w:tc>
        <w:tc>
          <w:tcPr>
            <w:tcW w:w="724" w:type="dxa"/>
            <w:tcBorders>
              <w:top w:val="single" w:color="000000" w:sz="4" w:space="0"/>
              <w:left w:val="single" w:color="000000" w:sz="4" w:space="0"/>
              <w:right w:val="single" w:color="000000" w:sz="4" w:space="0"/>
            </w:tcBorders>
            <w:shd w:val="clear" w:color="auto" w:fill="auto"/>
            <w:vAlign w:val="center"/>
          </w:tcPr>
          <w:p w14:paraId="274379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w:t>
            </w:r>
          </w:p>
        </w:tc>
        <w:tc>
          <w:tcPr>
            <w:tcW w:w="827" w:type="dxa"/>
            <w:tcBorders>
              <w:top w:val="single" w:color="000000" w:sz="4" w:space="0"/>
              <w:left w:val="single" w:color="000000" w:sz="4" w:space="0"/>
              <w:right w:val="single" w:color="000000" w:sz="4" w:space="0"/>
            </w:tcBorders>
            <w:shd w:val="clear" w:color="auto" w:fill="auto"/>
            <w:vAlign w:val="center"/>
          </w:tcPr>
          <w:p w14:paraId="106DBE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产生的生态效益</w:t>
            </w:r>
          </w:p>
        </w:tc>
        <w:tc>
          <w:tcPr>
            <w:tcW w:w="596" w:type="dxa"/>
            <w:tcBorders>
              <w:top w:val="single" w:color="000000" w:sz="4" w:space="0"/>
              <w:left w:val="single" w:color="000000" w:sz="4" w:space="0"/>
              <w:right w:val="single" w:color="000000" w:sz="4" w:space="0"/>
            </w:tcBorders>
            <w:shd w:val="clear" w:color="auto" w:fill="auto"/>
            <w:vAlign w:val="center"/>
          </w:tcPr>
          <w:p w14:paraId="7BC9FE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20" w:type="dxa"/>
            <w:tcBorders>
              <w:top w:val="single" w:color="000000" w:sz="4" w:space="0"/>
              <w:left w:val="single" w:color="000000" w:sz="4" w:space="0"/>
              <w:right w:val="single" w:color="000000" w:sz="4" w:space="0"/>
            </w:tcBorders>
            <w:shd w:val="clear" w:color="auto" w:fill="auto"/>
            <w:vAlign w:val="center"/>
          </w:tcPr>
          <w:p w14:paraId="6E9B709E">
            <w:pPr>
              <w:jc w:val="center"/>
              <w:rPr>
                <w:rFonts w:hint="eastAsia" w:ascii="宋体" w:hAnsi="宋体" w:eastAsia="宋体" w:cs="宋体"/>
                <w:i w:val="0"/>
                <w:color w:val="000000"/>
                <w:sz w:val="18"/>
                <w:szCs w:val="18"/>
                <w:u w:val="none"/>
              </w:rPr>
            </w:pPr>
          </w:p>
        </w:tc>
        <w:tc>
          <w:tcPr>
            <w:tcW w:w="719" w:type="dxa"/>
            <w:tcBorders>
              <w:top w:val="single" w:color="000000" w:sz="4" w:space="0"/>
              <w:left w:val="single" w:color="000000" w:sz="4" w:space="0"/>
              <w:right w:val="single" w:color="000000" w:sz="4" w:space="0"/>
            </w:tcBorders>
            <w:shd w:val="clear" w:color="auto" w:fill="auto"/>
            <w:vAlign w:val="center"/>
          </w:tcPr>
          <w:p w14:paraId="0B8908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优良中差</w:t>
            </w:r>
          </w:p>
        </w:tc>
        <w:tc>
          <w:tcPr>
            <w:tcW w:w="694" w:type="dxa"/>
            <w:tcBorders>
              <w:top w:val="single" w:color="000000" w:sz="4" w:space="0"/>
              <w:left w:val="single" w:color="000000" w:sz="4" w:space="0"/>
              <w:right w:val="single" w:color="000000" w:sz="4" w:space="0"/>
            </w:tcBorders>
            <w:shd w:val="clear" w:color="auto" w:fill="auto"/>
            <w:vAlign w:val="center"/>
          </w:tcPr>
          <w:p w14:paraId="65EC65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655" w:type="dxa"/>
            <w:tcBorders>
              <w:top w:val="single" w:color="000000" w:sz="4" w:space="0"/>
              <w:left w:val="single" w:color="000000" w:sz="4" w:space="0"/>
              <w:right w:val="single" w:color="000000" w:sz="4" w:space="0"/>
            </w:tcBorders>
            <w:shd w:val="clear" w:color="auto" w:fill="auto"/>
            <w:vAlign w:val="center"/>
          </w:tcPr>
          <w:p w14:paraId="42DBB2DA">
            <w:pPr>
              <w:jc w:val="center"/>
              <w:rPr>
                <w:rFonts w:hint="eastAsia" w:ascii="宋体" w:hAnsi="宋体" w:eastAsia="宋体" w:cs="宋体"/>
                <w:i w:val="0"/>
                <w:color w:val="000000"/>
                <w:sz w:val="18"/>
                <w:szCs w:val="18"/>
                <w:u w:val="none"/>
              </w:rPr>
            </w:pPr>
          </w:p>
        </w:tc>
        <w:tc>
          <w:tcPr>
            <w:tcW w:w="617" w:type="dxa"/>
            <w:tcBorders>
              <w:top w:val="single" w:color="000000" w:sz="4" w:space="0"/>
              <w:left w:val="single" w:color="000000" w:sz="4" w:space="0"/>
              <w:right w:val="single" w:color="000000" w:sz="4" w:space="0"/>
            </w:tcBorders>
            <w:shd w:val="clear" w:color="auto" w:fill="auto"/>
            <w:vAlign w:val="center"/>
          </w:tcPr>
          <w:p w14:paraId="79E441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64B4C6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44CDC2CA">
            <w:pPr>
              <w:jc w:val="center"/>
              <w:rPr>
                <w:rFonts w:hint="eastAsia" w:ascii="宋体" w:hAnsi="宋体" w:eastAsia="宋体" w:cs="宋体"/>
                <w:i w:val="0"/>
                <w:color w:val="000000"/>
                <w:sz w:val="18"/>
                <w:szCs w:val="18"/>
                <w:u w:val="none"/>
              </w:rPr>
            </w:pPr>
          </w:p>
        </w:tc>
      </w:tr>
      <w:tr w14:paraId="5671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221CA9EF">
            <w:pPr>
              <w:jc w:val="center"/>
              <w:rPr>
                <w:rFonts w:hint="eastAsia" w:ascii="宋体" w:hAnsi="宋体" w:eastAsia="宋体" w:cs="宋体"/>
                <w:i w:val="0"/>
                <w:color w:val="000000"/>
                <w:sz w:val="18"/>
                <w:szCs w:val="18"/>
                <w:u w:val="none"/>
              </w:rPr>
            </w:pPr>
          </w:p>
        </w:tc>
        <w:tc>
          <w:tcPr>
            <w:tcW w:w="680" w:type="dxa"/>
            <w:vMerge w:val="continue"/>
            <w:tcBorders>
              <w:top w:val="single" w:color="000000" w:sz="4" w:space="0"/>
              <w:left w:val="single" w:color="000000" w:sz="4" w:space="0"/>
              <w:right w:val="single" w:color="000000" w:sz="4" w:space="0"/>
            </w:tcBorders>
            <w:shd w:val="clear" w:color="auto" w:fill="auto"/>
            <w:vAlign w:val="center"/>
          </w:tcPr>
          <w:p w14:paraId="440DBCEF">
            <w:pPr>
              <w:jc w:val="center"/>
              <w:rPr>
                <w:rFonts w:hint="eastAsia" w:ascii="宋体" w:hAnsi="宋体" w:eastAsia="宋体" w:cs="宋体"/>
                <w:i w:val="0"/>
                <w:color w:val="000000"/>
                <w:sz w:val="18"/>
                <w:szCs w:val="18"/>
                <w:u w:val="none"/>
              </w:rPr>
            </w:pPr>
          </w:p>
        </w:tc>
        <w:tc>
          <w:tcPr>
            <w:tcW w:w="724" w:type="dxa"/>
            <w:tcBorders>
              <w:top w:val="single" w:color="000000" w:sz="4" w:space="0"/>
              <w:left w:val="single" w:color="000000" w:sz="4" w:space="0"/>
              <w:right w:val="single" w:color="000000" w:sz="4" w:space="0"/>
            </w:tcBorders>
            <w:shd w:val="clear" w:color="auto" w:fill="auto"/>
            <w:vAlign w:val="center"/>
          </w:tcPr>
          <w:p w14:paraId="3B136D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w:t>
            </w:r>
          </w:p>
        </w:tc>
        <w:tc>
          <w:tcPr>
            <w:tcW w:w="827" w:type="dxa"/>
            <w:tcBorders>
              <w:top w:val="single" w:color="000000" w:sz="4" w:space="0"/>
              <w:left w:val="single" w:color="000000" w:sz="4" w:space="0"/>
              <w:right w:val="single" w:color="000000" w:sz="4" w:space="0"/>
            </w:tcBorders>
            <w:shd w:val="clear" w:color="auto" w:fill="auto"/>
            <w:vAlign w:val="center"/>
          </w:tcPr>
          <w:p w14:paraId="4B90BD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加强社会主义法制建设</w:t>
            </w:r>
          </w:p>
        </w:tc>
        <w:tc>
          <w:tcPr>
            <w:tcW w:w="596" w:type="dxa"/>
            <w:tcBorders>
              <w:top w:val="single" w:color="000000" w:sz="4" w:space="0"/>
              <w:left w:val="single" w:color="000000" w:sz="4" w:space="0"/>
              <w:right w:val="single" w:color="000000" w:sz="4" w:space="0"/>
            </w:tcBorders>
            <w:shd w:val="clear" w:color="auto" w:fill="auto"/>
            <w:vAlign w:val="center"/>
          </w:tcPr>
          <w:p w14:paraId="1D1BDB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720" w:type="dxa"/>
            <w:tcBorders>
              <w:top w:val="single" w:color="000000" w:sz="4" w:space="0"/>
              <w:left w:val="single" w:color="000000" w:sz="4" w:space="0"/>
              <w:right w:val="single" w:color="000000" w:sz="4" w:space="0"/>
            </w:tcBorders>
            <w:shd w:val="clear" w:color="auto" w:fill="auto"/>
            <w:vAlign w:val="center"/>
          </w:tcPr>
          <w:p w14:paraId="67FA0C54">
            <w:pPr>
              <w:jc w:val="center"/>
              <w:rPr>
                <w:rFonts w:hint="eastAsia" w:ascii="宋体" w:hAnsi="宋体" w:eastAsia="宋体" w:cs="宋体"/>
                <w:i w:val="0"/>
                <w:color w:val="000000"/>
                <w:sz w:val="18"/>
                <w:szCs w:val="18"/>
                <w:u w:val="none"/>
              </w:rPr>
            </w:pPr>
          </w:p>
        </w:tc>
        <w:tc>
          <w:tcPr>
            <w:tcW w:w="719" w:type="dxa"/>
            <w:tcBorders>
              <w:top w:val="single" w:color="000000" w:sz="4" w:space="0"/>
              <w:left w:val="single" w:color="000000" w:sz="4" w:space="0"/>
              <w:right w:val="single" w:color="000000" w:sz="4" w:space="0"/>
            </w:tcBorders>
            <w:shd w:val="clear" w:color="auto" w:fill="auto"/>
            <w:vAlign w:val="center"/>
          </w:tcPr>
          <w:p w14:paraId="79FC0A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长期</w:t>
            </w:r>
          </w:p>
        </w:tc>
        <w:tc>
          <w:tcPr>
            <w:tcW w:w="694" w:type="dxa"/>
            <w:tcBorders>
              <w:top w:val="single" w:color="000000" w:sz="4" w:space="0"/>
              <w:left w:val="single" w:color="000000" w:sz="4" w:space="0"/>
              <w:right w:val="single" w:color="000000" w:sz="4" w:space="0"/>
            </w:tcBorders>
            <w:shd w:val="clear" w:color="auto" w:fill="auto"/>
            <w:vAlign w:val="center"/>
          </w:tcPr>
          <w:p w14:paraId="3FE1F9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长期</w:t>
            </w:r>
          </w:p>
        </w:tc>
        <w:tc>
          <w:tcPr>
            <w:tcW w:w="655" w:type="dxa"/>
            <w:tcBorders>
              <w:top w:val="single" w:color="000000" w:sz="4" w:space="0"/>
              <w:left w:val="single" w:color="000000" w:sz="4" w:space="0"/>
              <w:right w:val="single" w:color="000000" w:sz="4" w:space="0"/>
            </w:tcBorders>
            <w:shd w:val="clear" w:color="auto" w:fill="auto"/>
            <w:vAlign w:val="center"/>
          </w:tcPr>
          <w:p w14:paraId="3B25DFFF">
            <w:pPr>
              <w:jc w:val="center"/>
              <w:rPr>
                <w:rFonts w:hint="eastAsia" w:ascii="宋体" w:hAnsi="宋体" w:eastAsia="宋体" w:cs="宋体"/>
                <w:i w:val="0"/>
                <w:color w:val="000000"/>
                <w:sz w:val="18"/>
                <w:szCs w:val="18"/>
                <w:u w:val="none"/>
              </w:rPr>
            </w:pPr>
          </w:p>
        </w:tc>
        <w:tc>
          <w:tcPr>
            <w:tcW w:w="617" w:type="dxa"/>
            <w:tcBorders>
              <w:top w:val="single" w:color="000000" w:sz="4" w:space="0"/>
              <w:left w:val="single" w:color="000000" w:sz="4" w:space="0"/>
              <w:right w:val="single" w:color="000000" w:sz="4" w:space="0"/>
            </w:tcBorders>
            <w:shd w:val="clear" w:color="auto" w:fill="auto"/>
            <w:vAlign w:val="center"/>
          </w:tcPr>
          <w:p w14:paraId="74633E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18" w:type="dxa"/>
            <w:tcBorders>
              <w:top w:val="single" w:color="000000" w:sz="4" w:space="0"/>
              <w:left w:val="single" w:color="000000" w:sz="4" w:space="0"/>
              <w:right w:val="single" w:color="000000" w:sz="4" w:space="0"/>
            </w:tcBorders>
            <w:shd w:val="clear" w:color="auto" w:fill="auto"/>
            <w:vAlign w:val="center"/>
          </w:tcPr>
          <w:p w14:paraId="077537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90" w:type="dxa"/>
            <w:tcBorders>
              <w:top w:val="single" w:color="000000" w:sz="4" w:space="0"/>
              <w:left w:val="single" w:color="000000" w:sz="4" w:space="0"/>
              <w:right w:val="single" w:color="000000" w:sz="4" w:space="0"/>
            </w:tcBorders>
            <w:shd w:val="clear" w:color="auto" w:fill="auto"/>
            <w:vAlign w:val="center"/>
          </w:tcPr>
          <w:p w14:paraId="113D7FCF">
            <w:pPr>
              <w:jc w:val="center"/>
              <w:rPr>
                <w:rFonts w:hint="eastAsia" w:ascii="宋体" w:hAnsi="宋体" w:eastAsia="宋体" w:cs="宋体"/>
                <w:i w:val="0"/>
                <w:color w:val="000000"/>
                <w:sz w:val="18"/>
                <w:szCs w:val="18"/>
                <w:u w:val="none"/>
              </w:rPr>
            </w:pPr>
          </w:p>
        </w:tc>
      </w:tr>
      <w:tr w14:paraId="1C9F7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585" w:type="dxa"/>
            <w:vMerge w:val="continue"/>
            <w:tcBorders>
              <w:top w:val="single" w:color="000000" w:sz="4" w:space="0"/>
              <w:left w:val="single" w:color="000000" w:sz="4" w:space="0"/>
              <w:right w:val="single" w:color="000000" w:sz="4" w:space="0"/>
            </w:tcBorders>
            <w:shd w:val="clear" w:color="auto" w:fill="auto"/>
            <w:vAlign w:val="center"/>
          </w:tcPr>
          <w:p w14:paraId="3514E4D4">
            <w:pPr>
              <w:jc w:val="center"/>
              <w:rPr>
                <w:rFonts w:hint="eastAsia" w:ascii="宋体" w:hAnsi="宋体" w:eastAsia="宋体" w:cs="宋体"/>
                <w:i w:val="0"/>
                <w:color w:val="000000"/>
                <w:sz w:val="18"/>
                <w:szCs w:val="18"/>
                <w:u w:val="none"/>
              </w:rPr>
            </w:pPr>
          </w:p>
        </w:tc>
        <w:tc>
          <w:tcPr>
            <w:tcW w:w="680" w:type="dxa"/>
            <w:tcBorders>
              <w:top w:val="single" w:color="000000" w:sz="4" w:space="0"/>
              <w:left w:val="single" w:color="000000" w:sz="4" w:space="0"/>
              <w:right w:val="single" w:color="000000" w:sz="4" w:space="0"/>
            </w:tcBorders>
            <w:shd w:val="clear" w:color="auto" w:fill="auto"/>
            <w:vAlign w:val="center"/>
          </w:tcPr>
          <w:p w14:paraId="036C63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24" w:type="dxa"/>
            <w:tcBorders>
              <w:top w:val="single" w:color="000000" w:sz="4" w:space="0"/>
              <w:left w:val="single" w:color="000000" w:sz="4" w:space="0"/>
              <w:right w:val="single" w:color="000000" w:sz="4" w:space="0"/>
            </w:tcBorders>
            <w:shd w:val="clear" w:color="auto" w:fill="auto"/>
            <w:vAlign w:val="center"/>
          </w:tcPr>
          <w:p w14:paraId="0ABCE5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w:t>
            </w:r>
          </w:p>
        </w:tc>
        <w:tc>
          <w:tcPr>
            <w:tcW w:w="827" w:type="dxa"/>
            <w:tcBorders>
              <w:top w:val="single" w:color="000000" w:sz="4" w:space="0"/>
              <w:left w:val="single" w:color="000000" w:sz="4" w:space="0"/>
              <w:right w:val="single" w:color="000000" w:sz="4" w:space="0"/>
            </w:tcBorders>
            <w:shd w:val="clear" w:color="auto" w:fill="auto"/>
            <w:vAlign w:val="center"/>
          </w:tcPr>
          <w:p w14:paraId="6B4B0C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对于办案人员规范诉讼</w:t>
            </w:r>
          </w:p>
        </w:tc>
        <w:tc>
          <w:tcPr>
            <w:tcW w:w="596" w:type="dxa"/>
            <w:tcBorders>
              <w:top w:val="single" w:color="000000" w:sz="4" w:space="0"/>
              <w:left w:val="single" w:color="000000" w:sz="4" w:space="0"/>
              <w:right w:val="single" w:color="000000" w:sz="4" w:space="0"/>
            </w:tcBorders>
            <w:shd w:val="clear" w:color="auto" w:fill="auto"/>
            <w:vAlign w:val="center"/>
          </w:tcPr>
          <w:p w14:paraId="07D46A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反向</w:t>
            </w:r>
          </w:p>
        </w:tc>
        <w:tc>
          <w:tcPr>
            <w:tcW w:w="720" w:type="dxa"/>
            <w:tcBorders>
              <w:top w:val="single" w:color="000000" w:sz="4" w:space="0"/>
              <w:left w:val="single" w:color="000000" w:sz="4" w:space="0"/>
              <w:right w:val="single" w:color="000000" w:sz="4" w:space="0"/>
            </w:tcBorders>
            <w:shd w:val="clear" w:color="auto" w:fill="auto"/>
            <w:vAlign w:val="center"/>
          </w:tcPr>
          <w:p w14:paraId="6A163D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小于等于</w:t>
            </w:r>
          </w:p>
        </w:tc>
        <w:tc>
          <w:tcPr>
            <w:tcW w:w="719" w:type="dxa"/>
            <w:tcBorders>
              <w:top w:val="single" w:color="000000" w:sz="4" w:space="0"/>
              <w:left w:val="single" w:color="000000" w:sz="4" w:space="0"/>
              <w:right w:val="single" w:color="000000" w:sz="4" w:space="0"/>
            </w:tcBorders>
            <w:shd w:val="clear" w:color="auto" w:fill="auto"/>
            <w:vAlign w:val="center"/>
          </w:tcPr>
          <w:p w14:paraId="5A4BA6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94" w:type="dxa"/>
            <w:tcBorders>
              <w:top w:val="single" w:color="000000" w:sz="4" w:space="0"/>
              <w:left w:val="single" w:color="000000" w:sz="4" w:space="0"/>
              <w:right w:val="single" w:color="000000" w:sz="4" w:space="0"/>
            </w:tcBorders>
            <w:shd w:val="clear" w:color="auto" w:fill="auto"/>
            <w:vAlign w:val="center"/>
          </w:tcPr>
          <w:p w14:paraId="32990E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655" w:type="dxa"/>
            <w:tcBorders>
              <w:top w:val="single" w:color="000000" w:sz="4" w:space="0"/>
              <w:left w:val="single" w:color="000000" w:sz="4" w:space="0"/>
              <w:right w:val="single" w:color="000000" w:sz="4" w:space="0"/>
            </w:tcBorders>
            <w:shd w:val="clear" w:color="auto" w:fill="auto"/>
            <w:vAlign w:val="center"/>
          </w:tcPr>
          <w:p w14:paraId="1904F5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17" w:type="dxa"/>
            <w:tcBorders>
              <w:top w:val="single" w:color="000000" w:sz="4" w:space="0"/>
              <w:left w:val="single" w:color="000000" w:sz="4" w:space="0"/>
              <w:right w:val="single" w:color="000000" w:sz="4" w:space="0"/>
            </w:tcBorders>
            <w:shd w:val="clear" w:color="auto" w:fill="auto"/>
            <w:vAlign w:val="center"/>
          </w:tcPr>
          <w:p w14:paraId="0CBFA9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18" w:type="dxa"/>
            <w:tcBorders>
              <w:top w:val="single" w:color="000000" w:sz="4" w:space="0"/>
              <w:left w:val="single" w:color="000000" w:sz="4" w:space="0"/>
              <w:right w:val="single" w:color="000000" w:sz="4" w:space="0"/>
            </w:tcBorders>
            <w:shd w:val="clear" w:color="auto" w:fill="auto"/>
            <w:vAlign w:val="center"/>
          </w:tcPr>
          <w:p w14:paraId="070B0F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90" w:type="dxa"/>
            <w:tcBorders>
              <w:top w:val="single" w:color="000000" w:sz="4" w:space="0"/>
              <w:left w:val="single" w:color="000000" w:sz="4" w:space="0"/>
              <w:right w:val="single" w:color="000000" w:sz="4" w:space="0"/>
            </w:tcBorders>
            <w:shd w:val="clear" w:color="auto" w:fill="auto"/>
            <w:vAlign w:val="center"/>
          </w:tcPr>
          <w:p w14:paraId="495A1D58">
            <w:pPr>
              <w:jc w:val="center"/>
              <w:rPr>
                <w:rFonts w:hint="eastAsia" w:ascii="宋体" w:hAnsi="宋体" w:eastAsia="宋体" w:cs="宋体"/>
                <w:i w:val="0"/>
                <w:color w:val="000000"/>
                <w:sz w:val="18"/>
                <w:szCs w:val="18"/>
                <w:u w:val="none"/>
              </w:rPr>
            </w:pPr>
          </w:p>
        </w:tc>
      </w:tr>
      <w:tr w14:paraId="55070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62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0970C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CE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906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D7DA6">
            <w:pPr>
              <w:jc w:val="center"/>
              <w:rPr>
                <w:rFonts w:hint="eastAsia" w:ascii="宋体" w:hAnsi="宋体" w:eastAsia="宋体" w:cs="宋体"/>
                <w:i w:val="0"/>
                <w:color w:val="000000"/>
                <w:sz w:val="18"/>
                <w:szCs w:val="18"/>
                <w:u w:val="none"/>
              </w:rPr>
            </w:pPr>
          </w:p>
        </w:tc>
      </w:tr>
    </w:tbl>
    <w:p w14:paraId="56728F0B">
      <w:pPr>
        <w:pStyle w:val="2"/>
        <w:widowControl w:val="0"/>
        <w:numPr>
          <w:ilvl w:val="0"/>
          <w:numId w:val="0"/>
        </w:numPr>
        <w:jc w:val="both"/>
      </w:pPr>
    </w:p>
    <w:p w14:paraId="0F88289A">
      <w:pPr>
        <w:keepNext w:val="0"/>
        <w:keepLines w:val="0"/>
        <w:pageBreakBefore w:val="0"/>
        <w:widowControl w:val="0"/>
        <w:kinsoku/>
        <w:wordWrap/>
        <w:overflowPunct/>
        <w:topLinePunct/>
        <w:autoSpaceDE/>
        <w:autoSpaceDN/>
        <w:bidi w:val="0"/>
        <w:adjustRightInd/>
        <w:snapToGrid/>
        <w:spacing w:line="560" w:lineRule="exact"/>
        <w:ind w:right="0" w:rightChars="0" w:firstLine="640" w:firstLineChars="200"/>
        <w:jc w:val="both"/>
        <w:textAlignment w:val="auto"/>
        <w:outlineLvl w:val="9"/>
        <w:rPr>
          <w:rFonts w:ascii="黑体" w:hAnsi="黑体" w:eastAsia="黑体" w:cs="方正黑体_GBK"/>
          <w:color w:val="000000"/>
          <w:sz w:val="32"/>
          <w:szCs w:val="32"/>
        </w:rPr>
      </w:pPr>
      <w:r>
        <w:rPr>
          <w:rFonts w:hint="eastAsia" w:ascii="仿宋_GB2312" w:hAnsi="方正仿宋_GBK" w:eastAsia="仿宋_GB2312" w:cs="方正仿宋_GBK"/>
          <w:color w:val="000000"/>
          <w:sz w:val="32"/>
          <w:szCs w:val="32"/>
          <w:lang w:val="en-US" w:eastAsia="zh-CN"/>
        </w:rPr>
        <w:t>4、</w:t>
      </w:r>
      <w:r>
        <w:rPr>
          <w:rFonts w:hint="eastAsia" w:ascii="仿宋_GB2312" w:hAnsi="方正仿宋_GBK" w:eastAsia="仿宋_GB2312" w:cs="方正仿宋_GBK"/>
          <w:color w:val="000000"/>
          <w:sz w:val="32"/>
          <w:szCs w:val="32"/>
        </w:rPr>
        <w:t>绩效评价指标分析</w:t>
      </w:r>
    </w:p>
    <w:p w14:paraId="51DC8777">
      <w:pPr>
        <w:keepNext w:val="0"/>
        <w:keepLines w:val="0"/>
        <w:pageBreakBefore w:val="0"/>
        <w:widowControl w:val="0"/>
        <w:kinsoku/>
        <w:wordWrap/>
        <w:overflowPunct/>
        <w:topLinePunct/>
        <w:autoSpaceDE/>
        <w:autoSpaceDN/>
        <w:bidi w:val="0"/>
        <w:adjustRightInd/>
        <w:snapToGrid/>
        <w:spacing w:line="560" w:lineRule="exact"/>
        <w:ind w:left="319" w:leftChars="152" w:right="0" w:rightChars="0" w:firstLine="540" w:firstLineChars="169"/>
        <w:jc w:val="both"/>
        <w:textAlignment w:val="auto"/>
        <w:outlineLvl w:val="9"/>
        <w:rPr>
          <w:rFonts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w:t>
      </w:r>
      <w:r>
        <w:rPr>
          <w:rFonts w:hint="eastAsia" w:ascii="仿宋_GB2312" w:hAnsi="方正仿宋_GBK" w:eastAsia="仿宋_GB2312" w:cs="方正仿宋_GBK"/>
          <w:color w:val="000000"/>
          <w:sz w:val="32"/>
          <w:szCs w:val="32"/>
          <w:lang w:val="en-US" w:eastAsia="zh-CN"/>
        </w:rPr>
        <w:t>1</w:t>
      </w:r>
      <w:r>
        <w:rPr>
          <w:rFonts w:hint="eastAsia" w:ascii="仿宋_GB2312" w:hAnsi="方正仿宋_GBK" w:eastAsia="仿宋_GB2312" w:cs="方正仿宋_GBK"/>
          <w:color w:val="000000"/>
          <w:sz w:val="32"/>
          <w:szCs w:val="32"/>
        </w:rPr>
        <w:t>）项目决策情况。</w:t>
      </w:r>
      <w:r>
        <w:rPr>
          <w:rFonts w:hint="eastAsia" w:ascii="仿宋_GB2312" w:hAnsi="方正仿宋_GBK" w:eastAsia="仿宋_GB2312" w:cs="方正仿宋_GBK"/>
          <w:color w:val="000000"/>
          <w:sz w:val="32"/>
          <w:szCs w:val="32"/>
          <w:lang w:eastAsia="zh-CN"/>
        </w:rPr>
        <w:t>项目年初按财政预算管理要求编制绩效目标，设置产出、效益、满意度等指标、整体决策程序规范。</w:t>
      </w:r>
    </w:p>
    <w:p w14:paraId="0ABA3FA0">
      <w:pPr>
        <w:keepNext w:val="0"/>
        <w:keepLines w:val="0"/>
        <w:pageBreakBefore w:val="0"/>
        <w:widowControl w:val="0"/>
        <w:kinsoku/>
        <w:wordWrap/>
        <w:overflowPunct/>
        <w:topLinePunct/>
        <w:autoSpaceDE/>
        <w:autoSpaceDN/>
        <w:bidi w:val="0"/>
        <w:adjustRightInd/>
        <w:snapToGrid/>
        <w:spacing w:line="560" w:lineRule="exact"/>
        <w:ind w:left="319" w:leftChars="152" w:right="0" w:rightChars="0" w:firstLine="540" w:firstLineChars="169"/>
        <w:jc w:val="both"/>
        <w:textAlignment w:val="auto"/>
        <w:outlineLvl w:val="9"/>
        <w:rPr>
          <w:rFonts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w:t>
      </w:r>
      <w:r>
        <w:rPr>
          <w:rFonts w:hint="eastAsia" w:ascii="仿宋_GB2312" w:hAnsi="方正仿宋_GBK" w:eastAsia="仿宋_GB2312" w:cs="方正仿宋_GBK"/>
          <w:color w:val="000000"/>
          <w:sz w:val="32"/>
          <w:szCs w:val="32"/>
          <w:lang w:val="en-US" w:eastAsia="zh-CN"/>
        </w:rPr>
        <w:t>2</w:t>
      </w:r>
      <w:r>
        <w:rPr>
          <w:rFonts w:hint="eastAsia" w:ascii="仿宋_GB2312" w:hAnsi="方正仿宋_GBK" w:eastAsia="仿宋_GB2312" w:cs="方正仿宋_GBK"/>
          <w:color w:val="000000"/>
          <w:sz w:val="32"/>
          <w:szCs w:val="32"/>
        </w:rPr>
        <w:t>）项目过程情况。</w:t>
      </w:r>
      <w:r>
        <w:rPr>
          <w:rFonts w:hint="eastAsia" w:ascii="仿宋_GB2312" w:hAnsi="方正仿宋_GBK" w:eastAsia="仿宋_GB2312" w:cs="方正仿宋_GBK"/>
          <w:color w:val="000000"/>
          <w:sz w:val="32"/>
          <w:szCs w:val="32"/>
          <w:lang w:eastAsia="zh-CN"/>
        </w:rPr>
        <w:t>严格执行国库集中支付，财务报销审批制度，会计核算规范。</w:t>
      </w:r>
    </w:p>
    <w:p w14:paraId="004B264B">
      <w:pPr>
        <w:keepNext w:val="0"/>
        <w:keepLines w:val="0"/>
        <w:pageBreakBefore w:val="0"/>
        <w:widowControl w:val="0"/>
        <w:kinsoku/>
        <w:wordWrap/>
        <w:overflowPunct/>
        <w:topLinePunct/>
        <w:autoSpaceDE/>
        <w:autoSpaceDN/>
        <w:bidi w:val="0"/>
        <w:adjustRightInd/>
        <w:snapToGrid/>
        <w:spacing w:line="560" w:lineRule="exact"/>
        <w:ind w:left="319" w:leftChars="152" w:right="0" w:rightChars="0" w:firstLine="540" w:firstLineChars="169"/>
        <w:jc w:val="both"/>
        <w:textAlignment w:val="auto"/>
        <w:outlineLvl w:val="9"/>
        <w:rPr>
          <w:rFonts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w:t>
      </w:r>
      <w:r>
        <w:rPr>
          <w:rFonts w:hint="eastAsia" w:ascii="仿宋_GB2312" w:hAnsi="方正仿宋_GBK" w:eastAsia="仿宋_GB2312" w:cs="方正仿宋_GBK"/>
          <w:color w:val="000000"/>
          <w:sz w:val="32"/>
          <w:szCs w:val="32"/>
          <w:lang w:val="en-US" w:eastAsia="zh-CN"/>
        </w:rPr>
        <w:t>3</w:t>
      </w:r>
      <w:r>
        <w:rPr>
          <w:rFonts w:hint="eastAsia" w:ascii="仿宋_GB2312" w:hAnsi="方正仿宋_GBK" w:eastAsia="仿宋_GB2312" w:cs="方正仿宋_GBK"/>
          <w:color w:val="000000"/>
          <w:sz w:val="32"/>
          <w:szCs w:val="32"/>
        </w:rPr>
        <w:t>）项目产出情况。案件审结率</w:t>
      </w:r>
      <w:r>
        <w:rPr>
          <w:rFonts w:hint="eastAsia" w:ascii="仿宋_GB2312" w:hAnsi="方正仿宋_GBK" w:eastAsia="仿宋_GB2312" w:cs="方正仿宋_GBK"/>
          <w:color w:val="000000"/>
          <w:sz w:val="32"/>
          <w:szCs w:val="32"/>
          <w:lang w:eastAsia="zh-CN"/>
        </w:rPr>
        <w:t>、</w:t>
      </w:r>
      <w:r>
        <w:rPr>
          <w:rFonts w:hint="eastAsia" w:ascii="仿宋_GB2312" w:hAnsi="方正仿宋_GBK" w:eastAsia="仿宋_GB2312" w:cs="方正仿宋_GBK"/>
          <w:color w:val="000000"/>
          <w:sz w:val="32"/>
          <w:szCs w:val="32"/>
        </w:rPr>
        <w:t>受理案件及时率</w:t>
      </w:r>
      <w:r>
        <w:rPr>
          <w:rFonts w:hint="eastAsia" w:ascii="仿宋_GB2312" w:hAnsi="方正仿宋_GBK" w:eastAsia="仿宋_GB2312" w:cs="方正仿宋_GBK"/>
          <w:color w:val="000000"/>
          <w:sz w:val="32"/>
          <w:szCs w:val="32"/>
          <w:lang w:eastAsia="zh-CN"/>
        </w:rPr>
        <w:t>等指标全部达标，单位办案成本控制在合理区间，经费投入有效转化为检察业务工作成果，产出目标基本实现。</w:t>
      </w:r>
    </w:p>
    <w:p w14:paraId="3D4E4EFD">
      <w:pPr>
        <w:keepNext w:val="0"/>
        <w:keepLines w:val="0"/>
        <w:pageBreakBefore w:val="0"/>
        <w:widowControl w:val="0"/>
        <w:kinsoku/>
        <w:wordWrap/>
        <w:overflowPunct/>
        <w:topLinePunct/>
        <w:autoSpaceDE/>
        <w:autoSpaceDN/>
        <w:bidi w:val="0"/>
        <w:adjustRightInd/>
        <w:snapToGrid/>
        <w:spacing w:line="560" w:lineRule="exact"/>
        <w:ind w:left="319" w:leftChars="152" w:right="0" w:rightChars="0" w:firstLine="540" w:firstLineChars="169"/>
        <w:jc w:val="both"/>
        <w:textAlignment w:val="auto"/>
        <w:outlineLvl w:val="9"/>
        <w:rPr>
          <w:rFonts w:hint="eastAsia" w:ascii="仿宋_GB2312" w:hAnsi="方正仿宋_GBK" w:eastAsia="仿宋_GB2312" w:cs="方正仿宋_GBK"/>
          <w:color w:val="000000"/>
          <w:sz w:val="32"/>
          <w:szCs w:val="32"/>
        </w:rPr>
      </w:pPr>
      <w:r>
        <w:rPr>
          <w:rFonts w:hint="eastAsia" w:ascii="仿宋_GB2312" w:hAnsi="方正仿宋_GBK" w:eastAsia="仿宋_GB2312" w:cs="方正仿宋_GBK"/>
          <w:color w:val="000000"/>
          <w:sz w:val="32"/>
          <w:szCs w:val="32"/>
        </w:rPr>
        <w:t>（</w:t>
      </w:r>
      <w:r>
        <w:rPr>
          <w:rFonts w:hint="eastAsia" w:ascii="仿宋_GB2312" w:hAnsi="方正仿宋_GBK" w:eastAsia="仿宋_GB2312" w:cs="方正仿宋_GBK"/>
          <w:color w:val="000000"/>
          <w:sz w:val="32"/>
          <w:szCs w:val="32"/>
          <w:lang w:val="en-US" w:eastAsia="zh-CN"/>
        </w:rPr>
        <w:t>4</w:t>
      </w:r>
      <w:r>
        <w:rPr>
          <w:rFonts w:hint="eastAsia" w:ascii="仿宋_GB2312" w:hAnsi="方正仿宋_GBK" w:eastAsia="仿宋_GB2312" w:cs="方正仿宋_GBK"/>
          <w:color w:val="000000"/>
          <w:sz w:val="32"/>
          <w:szCs w:val="32"/>
        </w:rPr>
        <w:t>）项目效益情况</w:t>
      </w:r>
    </w:p>
    <w:p w14:paraId="1914463E">
      <w:pPr>
        <w:pStyle w:val="2"/>
        <w:keepNext w:val="0"/>
        <w:keepLines w:val="0"/>
        <w:pageBreakBefore w:val="0"/>
        <w:widowControl w:val="0"/>
        <w:kinsoku/>
        <w:wordWrap/>
        <w:overflowPunct/>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lang w:eastAsia="zh-CN"/>
        </w:rPr>
      </w:pPr>
      <w:r>
        <w:rPr>
          <w:rFonts w:hint="eastAsia" w:ascii="仿宋_GB2312" w:hAnsi="方正仿宋_GBK" w:eastAsia="仿宋_GB2312" w:cs="方正仿宋_GBK"/>
          <w:color w:val="000000"/>
          <w:sz w:val="32"/>
          <w:szCs w:val="32"/>
          <w:lang w:eastAsia="zh-CN"/>
        </w:rPr>
        <w:t>办案效益显著提升，为加强社会主义法制建设提供有力支撑，群众满意度达到较高水平。</w:t>
      </w:r>
    </w:p>
    <w:p w14:paraId="1C056132">
      <w:pPr>
        <w:keepNext w:val="0"/>
        <w:keepLines w:val="0"/>
        <w:pageBreakBefore w:val="0"/>
        <w:widowControl w:val="0"/>
        <w:kinsoku/>
        <w:wordWrap/>
        <w:overflowPunct/>
        <w:topLinePunct/>
        <w:autoSpaceDE/>
        <w:autoSpaceDN/>
        <w:bidi w:val="0"/>
        <w:adjustRightInd/>
        <w:snapToGrid/>
        <w:spacing w:line="560" w:lineRule="exact"/>
        <w:ind w:right="0" w:rightChars="0"/>
        <w:jc w:val="both"/>
        <w:textAlignment w:val="auto"/>
        <w:outlineLvl w:val="9"/>
        <w:rPr>
          <w:rFonts w:hint="eastAsia" w:ascii="黑体" w:hAnsi="黑体" w:eastAsia="黑体" w:cs="方正黑体_GBK"/>
          <w:color w:val="000000"/>
          <w:sz w:val="32"/>
          <w:szCs w:val="32"/>
        </w:rPr>
      </w:pPr>
      <w:r>
        <w:rPr>
          <w:rFonts w:hint="eastAsia" w:ascii="黑体" w:hAnsi="黑体" w:eastAsia="黑体" w:cs="方正黑体_GBK"/>
          <w:color w:val="000000"/>
          <w:sz w:val="32"/>
          <w:szCs w:val="32"/>
        </w:rPr>
        <w:t xml:space="preserve"> </w:t>
      </w:r>
      <w:r>
        <w:rPr>
          <w:rFonts w:hint="eastAsia" w:ascii="黑体" w:hAnsi="黑体" w:eastAsia="黑体" w:cs="方正黑体_GBK"/>
          <w:color w:val="000000"/>
          <w:sz w:val="32"/>
          <w:szCs w:val="32"/>
          <w:lang w:val="en-US" w:eastAsia="zh-CN"/>
        </w:rPr>
        <w:t xml:space="preserve">  </w:t>
      </w:r>
      <w:r>
        <w:rPr>
          <w:rFonts w:hint="eastAsia" w:ascii="仿宋_GB2312" w:hAnsi="方正仿宋_GBK" w:eastAsia="仿宋_GB2312" w:cs="方正仿宋_GBK"/>
          <w:color w:val="000000"/>
          <w:sz w:val="32"/>
          <w:szCs w:val="32"/>
          <w:lang w:val="en-US" w:eastAsia="zh-CN"/>
        </w:rPr>
        <w:t>5</w:t>
      </w:r>
      <w:r>
        <w:rPr>
          <w:rFonts w:hint="eastAsia" w:ascii="仿宋_GB2312" w:hAnsi="方正仿宋_GBK" w:eastAsia="仿宋_GB2312" w:cs="方正仿宋_GBK"/>
          <w:color w:val="000000"/>
          <w:sz w:val="32"/>
          <w:szCs w:val="32"/>
          <w:lang w:eastAsia="zh-CN"/>
        </w:rPr>
        <w:t>、主要经验及做法、存在的问题及原因分析</w:t>
      </w:r>
    </w:p>
    <w:p w14:paraId="1836BB19">
      <w:pPr>
        <w:pStyle w:val="2"/>
        <w:keepNext w:val="0"/>
        <w:keepLines w:val="0"/>
        <w:pageBreakBefore w:val="0"/>
        <w:widowControl w:val="0"/>
        <w:kinsoku/>
        <w:wordWrap/>
        <w:overflowPunct/>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方正仿宋_GBK" w:eastAsia="仿宋_GB2312" w:cs="方正仿宋_GBK"/>
          <w:color w:val="000000"/>
          <w:sz w:val="32"/>
          <w:szCs w:val="32"/>
          <w:lang w:eastAsia="zh-CN"/>
        </w:rPr>
      </w:pPr>
      <w:r>
        <w:rPr>
          <w:rFonts w:hint="eastAsia" w:ascii="仿宋_GB2312" w:hAnsi="方正仿宋_GBK" w:eastAsia="仿宋_GB2312" w:cs="方正仿宋_GBK"/>
          <w:color w:val="000000"/>
          <w:sz w:val="32"/>
          <w:szCs w:val="32"/>
          <w:lang w:eastAsia="zh-CN"/>
        </w:rPr>
        <w:t>主要经验及做法：规范资金内控管理、坚持预算保障业务导向、建立业务财务协同机制。存在的问题</w:t>
      </w:r>
      <w:r>
        <w:rPr>
          <w:rFonts w:hint="eastAsia" w:ascii="仿宋_GB2312" w:hAnsi="方正仿宋_GBK" w:eastAsia="仿宋_GB2312" w:cs="方正仿宋_GBK"/>
          <w:color w:val="000000"/>
          <w:sz w:val="32"/>
          <w:szCs w:val="32"/>
          <w:lang w:val="en-US" w:eastAsia="zh-CN"/>
        </w:rPr>
        <w:t>:绩效指标体系精细化水平不高。原因：指标设置更多满足基础填报要求，结合检察业务特色的精细化、差异化指标有待完善。</w:t>
      </w:r>
    </w:p>
    <w:p w14:paraId="15A8D4E7">
      <w:pPr>
        <w:keepNext w:val="0"/>
        <w:keepLines w:val="0"/>
        <w:pageBreakBefore w:val="0"/>
        <w:widowControl w:val="0"/>
        <w:numPr>
          <w:ilvl w:val="0"/>
          <w:numId w:val="0"/>
        </w:numPr>
        <w:kinsoku/>
        <w:wordWrap/>
        <w:overflowPunct/>
        <w:topLinePunct/>
        <w:autoSpaceDE/>
        <w:autoSpaceDN/>
        <w:bidi w:val="0"/>
        <w:adjustRightInd/>
        <w:snapToGrid/>
        <w:spacing w:line="560" w:lineRule="exact"/>
        <w:ind w:right="0" w:rightChars="0" w:firstLine="640" w:firstLineChars="200"/>
        <w:jc w:val="both"/>
        <w:textAlignment w:val="auto"/>
        <w:outlineLvl w:val="9"/>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6、有关建议</w:t>
      </w:r>
    </w:p>
    <w:p w14:paraId="72D0EB5A">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pPr>
      <w:r>
        <w:rPr>
          <w:rFonts w:hint="eastAsia" w:ascii="仿宋_GB2312" w:hAnsi="方正仿宋_GBK" w:eastAsia="仿宋_GB2312" w:cs="方正仿宋_GBK"/>
          <w:color w:val="000000"/>
          <w:kern w:val="2"/>
          <w:sz w:val="32"/>
          <w:szCs w:val="32"/>
          <w:lang w:val="en-US" w:eastAsia="zh-CN" w:bidi="ar-SA"/>
        </w:rPr>
        <w:t>深化业务与财务融合。推动财务人员深度了解检察业务工作内容，业务人员强化绩效理念，共同做好经费需求测算、绩效目标设置、过程管控工作。</w:t>
      </w:r>
    </w:p>
    <w:p w14:paraId="3578D58A">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楷体" w:hAnsi="楷体" w:eastAsia="楷体" w:cs="楷体"/>
          <w:b/>
          <w:bCs/>
          <w:kern w:val="0"/>
          <w:sz w:val="32"/>
          <w:szCs w:val="32"/>
        </w:rPr>
        <w:t>（四）部门（单位）预算绩效管理制度和核心绩效指标标准体系建设情况。</w:t>
      </w:r>
    </w:p>
    <w:p w14:paraId="6C7E0CD1">
      <w:pPr>
        <w:keepNext w:val="0"/>
        <w:keepLines w:val="0"/>
        <w:pageBreakBefore w:val="0"/>
        <w:widowControl/>
        <w:kinsoku/>
        <w:wordWrap/>
        <w:overflowPunct/>
        <w:topLinePunct w:val="0"/>
        <w:autoSpaceDE/>
        <w:autoSpaceDN/>
        <w:bidi w:val="0"/>
        <w:spacing w:line="576" w:lineRule="exact"/>
        <w:ind w:left="0" w:leftChars="0" w:right="0" w:rightChars="0" w:firstLine="640" w:firstLineChars="200"/>
        <w:jc w:val="left"/>
        <w:textAlignment w:val="auto"/>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1、预算绩效管理制度建设情况。明确财务部门统筹牵头、各业务部门分工落实的工作机制，厘清业务部门绩效主体责任，推动绩效理念融入预算申报、经费使用全过程。常态化开展绩效管理工作。加强绩效业务培训贯穿，提升全体工作人员绩效意识，打通业务工作与预算绩效管理衔接壁垒。</w:t>
      </w:r>
    </w:p>
    <w:p w14:paraId="082581D6">
      <w:pPr>
        <w:pStyle w:val="2"/>
        <w:ind w:left="0" w:leftChars="0" w:firstLine="640" w:firstLineChars="200"/>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2、核心绩效指标标准体系建设情况</w:t>
      </w:r>
    </w:p>
    <w:p w14:paraId="48BAF877">
      <w:pPr>
        <w:pStyle w:val="2"/>
        <w:ind w:left="0" w:leftChars="0" w:firstLine="640" w:firstLineChars="200"/>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（1）绩效指标框架搭建。参照财政绩效指标规范，建立以产出指标、效益指标、满意度指标为主体的通用指标框架。</w:t>
      </w:r>
    </w:p>
    <w:p w14:paraId="0E716135">
      <w:pPr>
        <w:pStyle w:val="2"/>
        <w:ind w:left="0" w:leftChars="0" w:firstLine="640" w:firstLineChars="200"/>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（2）指标数据采集与优化。依托财务账簿、业务报表等采集指标基础数据，保障指标可量化、可获取、可考核。结合历年绩效自评情况动态调整指标内容，持续优化指标值设定。</w:t>
      </w:r>
    </w:p>
    <w:p w14:paraId="403F21A5">
      <w:pPr>
        <w:pStyle w:val="5"/>
        <w:keepNext w:val="0"/>
        <w:keepLines w:val="0"/>
        <w:pageBreakBefore w:val="0"/>
        <w:widowControl/>
        <w:kinsoku/>
        <w:wordWrap/>
        <w:overflowPunct/>
        <w:topLinePunct w:val="0"/>
        <w:autoSpaceDE/>
        <w:autoSpaceDN/>
        <w:bidi w:val="0"/>
        <w:spacing w:before="0" w:after="0" w:line="576" w:lineRule="exact"/>
        <w:ind w:left="0" w:leftChars="0" w:right="0" w:rightChars="0"/>
        <w:jc w:val="center"/>
        <w:textAlignment w:val="auto"/>
        <w:rPr>
          <w:rFonts w:ascii="Times New Roman" w:hAnsi="Times New Roman" w:eastAsia="Times New Roman" w:cs="Times New Roman"/>
          <w:b/>
          <w:bCs/>
          <w:kern w:val="0"/>
          <w:sz w:val="36"/>
          <w:szCs w:val="36"/>
        </w:rPr>
      </w:pPr>
      <w:r>
        <w:rPr>
          <w:rFonts w:ascii="方正小标宋简体" w:hAnsi="方正小标宋简体" w:eastAsia="方正小标宋简体" w:cs="方正小标宋简体"/>
          <w:kern w:val="0"/>
          <w:sz w:val="36"/>
          <w:szCs w:val="36"/>
        </w:rPr>
        <w:t>第三部分</w:t>
      </w:r>
      <w:r>
        <w:rPr>
          <w:rFonts w:ascii="Times New Roman" w:hAnsi="Times New Roman" w:eastAsia="Times New Roman" w:cs="Times New Roman"/>
          <w:kern w:val="0"/>
          <w:sz w:val="36"/>
          <w:szCs w:val="36"/>
        </w:rPr>
        <w:t> </w:t>
      </w:r>
      <w:r>
        <w:rPr>
          <w:rFonts w:ascii="方正小标宋简体" w:hAnsi="方正小标宋简体" w:eastAsia="方正小标宋简体" w:cs="方正小标宋简体"/>
          <w:b w:val="0"/>
          <w:bCs w:val="0"/>
          <w:kern w:val="0"/>
          <w:sz w:val="36"/>
          <w:szCs w:val="36"/>
        </w:rPr>
        <w:t xml:space="preserve"> </w:t>
      </w:r>
      <w:r>
        <w:rPr>
          <w:rFonts w:ascii="方正小标宋简体" w:hAnsi="方正小标宋简体" w:eastAsia="方正小标宋简体" w:cs="方正小标宋简体"/>
          <w:kern w:val="0"/>
          <w:sz w:val="36"/>
          <w:szCs w:val="36"/>
        </w:rPr>
        <w:t>名词解释</w:t>
      </w:r>
    </w:p>
    <w:p w14:paraId="7EFA3A55">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一、财政拨款收入：</w:t>
      </w:r>
      <w:r>
        <w:rPr>
          <w:rFonts w:hint="eastAsia" w:ascii="仿宋_GB2312" w:hAnsi="方正仿宋_GBK" w:eastAsia="仿宋_GB2312" w:cs="方正仿宋_GBK"/>
          <w:color w:val="000000"/>
          <w:kern w:val="2"/>
          <w:sz w:val="32"/>
          <w:szCs w:val="32"/>
          <w:lang w:val="en-US" w:eastAsia="zh-CN" w:bidi="ar-SA"/>
        </w:rPr>
        <w:t>从同级财政部门取得的各类财政拨款，包括一般公共预算财政拨款、政府性基金预算财政拨款、国有资本经营预算财政拨款。</w:t>
      </w:r>
    </w:p>
    <w:p w14:paraId="57EB9126">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二、上级补助收入：</w:t>
      </w:r>
      <w:r>
        <w:rPr>
          <w:rFonts w:hint="eastAsia" w:ascii="仿宋_GB2312" w:hAnsi="方正仿宋_GBK" w:eastAsia="仿宋_GB2312" w:cs="方正仿宋_GBK"/>
          <w:color w:val="000000"/>
          <w:kern w:val="2"/>
          <w:sz w:val="32"/>
          <w:szCs w:val="32"/>
          <w:lang w:val="en-US" w:eastAsia="zh-CN" w:bidi="ar-SA"/>
        </w:rPr>
        <w:t>指事业单位从主管部门和上级单位取得的非财政补助收入。</w:t>
      </w:r>
    </w:p>
    <w:p w14:paraId="7EE7EC5D">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hint="eastAsia" w:ascii="仿宋_GB2312" w:hAnsi="方正仿宋_GBK" w:eastAsia="仿宋_GB2312" w:cs="方正仿宋_GBK"/>
          <w:color w:val="000000"/>
          <w:kern w:val="2"/>
          <w:sz w:val="32"/>
          <w:szCs w:val="32"/>
          <w:lang w:val="en-US" w:eastAsia="zh-CN" w:bidi="ar-SA"/>
        </w:rPr>
      </w:pPr>
      <w:r>
        <w:rPr>
          <w:rFonts w:ascii="FangSong_GB2312" w:hAnsi="FangSong_GB2312" w:eastAsia="FangSong_GB2312" w:cs="FangSong_GB2312"/>
          <w:b/>
          <w:bCs/>
          <w:kern w:val="0"/>
          <w:sz w:val="32"/>
          <w:szCs w:val="32"/>
        </w:rPr>
        <w:t>三、事业收入：</w:t>
      </w:r>
      <w:r>
        <w:rPr>
          <w:rFonts w:hint="eastAsia" w:ascii="仿宋_GB2312" w:hAnsi="方正仿宋_GBK" w:eastAsia="仿宋_GB2312" w:cs="方正仿宋_GBK"/>
          <w:color w:val="000000"/>
          <w:kern w:val="2"/>
          <w:sz w:val="32"/>
          <w:szCs w:val="32"/>
          <w:lang w:val="en-US" w:eastAsia="zh-CN" w:bidi="ar-SA"/>
        </w:rPr>
        <w:t>指事业单位开展专业业务活动及其辅助活动取得的收入。</w:t>
      </w:r>
    </w:p>
    <w:p w14:paraId="22513BD1">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四、经营收入：</w:t>
      </w:r>
      <w:r>
        <w:rPr>
          <w:rFonts w:hint="eastAsia" w:ascii="仿宋_GB2312" w:hAnsi="方正仿宋_GBK" w:eastAsia="仿宋_GB2312" w:cs="方正仿宋_GBK"/>
          <w:color w:val="000000"/>
          <w:kern w:val="2"/>
          <w:sz w:val="32"/>
          <w:szCs w:val="32"/>
          <w:lang w:val="en-US" w:eastAsia="zh-CN" w:bidi="ar-SA"/>
        </w:rPr>
        <w:t>指事业单位在专业业务活动及其辅助活动之外开展非独立核算经营活动取得的收入。</w:t>
      </w:r>
    </w:p>
    <w:p w14:paraId="0C65757E">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五、附属单位上缴收入：</w:t>
      </w:r>
      <w:r>
        <w:rPr>
          <w:rFonts w:hint="eastAsia" w:ascii="仿宋_GB2312" w:hAnsi="方正仿宋_GBK" w:eastAsia="仿宋_GB2312" w:cs="方正仿宋_GBK"/>
          <w:color w:val="000000"/>
          <w:kern w:val="2"/>
          <w:sz w:val="32"/>
          <w:szCs w:val="32"/>
          <w:lang w:val="en-US" w:eastAsia="zh-CN" w:bidi="ar-SA"/>
        </w:rPr>
        <w:t>指事业单位取得附属独立核算单位按照有关规定上缴的收入。</w:t>
      </w:r>
    </w:p>
    <w:p w14:paraId="0D05FA0E">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hint="eastAsia" w:ascii="仿宋_GB2312" w:hAnsi="方正仿宋_GBK" w:eastAsia="仿宋_GB2312" w:cs="方正仿宋_GBK"/>
          <w:color w:val="000000"/>
          <w:kern w:val="2"/>
          <w:sz w:val="32"/>
          <w:szCs w:val="32"/>
          <w:lang w:val="en-US" w:eastAsia="zh-CN" w:bidi="ar-SA"/>
        </w:rPr>
      </w:pPr>
      <w:r>
        <w:rPr>
          <w:rFonts w:ascii="FangSong_GB2312" w:hAnsi="FangSong_GB2312" w:eastAsia="FangSong_GB2312" w:cs="FangSong_GB2312"/>
          <w:b/>
          <w:bCs/>
          <w:kern w:val="0"/>
          <w:sz w:val="32"/>
          <w:szCs w:val="32"/>
        </w:rPr>
        <w:t>六、其他收入：</w:t>
      </w:r>
      <w:r>
        <w:rPr>
          <w:rFonts w:hint="eastAsia" w:ascii="仿宋_GB2312" w:hAnsi="方正仿宋_GBK" w:eastAsia="仿宋_GB2312" w:cs="方正仿宋_GBK"/>
          <w:color w:val="000000"/>
          <w:kern w:val="2"/>
          <w:sz w:val="32"/>
          <w:szCs w:val="32"/>
          <w:lang w:val="en-US" w:eastAsia="zh-CN" w:bidi="ar-SA"/>
        </w:rPr>
        <w:t>取得的除上述财政拨款收入、上级补助收入、事业收入、经营收入、附属单位上缴收入等以外的各项收入。</w:t>
      </w:r>
    </w:p>
    <w:p w14:paraId="1C13354B">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hint="eastAsia" w:ascii="仿宋_GB2312" w:hAnsi="方正仿宋_GBK" w:eastAsia="仿宋_GB2312" w:cs="方正仿宋_GBK"/>
          <w:color w:val="000000"/>
          <w:kern w:val="2"/>
          <w:sz w:val="32"/>
          <w:szCs w:val="32"/>
          <w:lang w:val="en-US" w:eastAsia="zh-CN" w:bidi="ar-SA"/>
        </w:rPr>
      </w:pPr>
      <w:r>
        <w:rPr>
          <w:rFonts w:ascii="FangSong_GB2312" w:hAnsi="FangSong_GB2312" w:eastAsia="FangSong_GB2312" w:cs="FangSong_GB2312"/>
          <w:b/>
          <w:bCs/>
          <w:kern w:val="0"/>
          <w:sz w:val="32"/>
          <w:szCs w:val="32"/>
        </w:rPr>
        <w:t>七、使用非财政拨款结余（含专用结余）：</w:t>
      </w:r>
      <w:r>
        <w:rPr>
          <w:rFonts w:hint="eastAsia" w:ascii="仿宋_GB2312" w:hAnsi="方正仿宋_GBK" w:eastAsia="仿宋_GB2312" w:cs="方正仿宋_GBK"/>
          <w:color w:val="000000"/>
          <w:kern w:val="2"/>
          <w:sz w:val="32"/>
          <w:szCs w:val="32"/>
          <w:lang w:val="en-US" w:eastAsia="zh-CN" w:bidi="ar-SA"/>
        </w:rPr>
        <w:t>指事业单位按照预算管理要求使用非财政拨款结余弥补收支差额的金额，以及使用专用结余安排支出的金额。</w:t>
      </w:r>
    </w:p>
    <w:p w14:paraId="616B68C6">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八、年初结转和结余：</w:t>
      </w:r>
      <w:r>
        <w:rPr>
          <w:rFonts w:hint="eastAsia" w:ascii="仿宋_GB2312" w:hAnsi="方正仿宋_GBK" w:eastAsia="仿宋_GB2312" w:cs="方正仿宋_GBK"/>
          <w:color w:val="000000"/>
          <w:kern w:val="2"/>
          <w:sz w:val="32"/>
          <w:szCs w:val="32"/>
          <w:lang w:val="en-US" w:eastAsia="zh-CN" w:bidi="ar-SA"/>
        </w:rPr>
        <w:t>指单位上年结转本年使用的基本支出结转、项目支出结转和结余、经营结余。</w:t>
      </w:r>
    </w:p>
    <w:p w14:paraId="30ED78B9">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九、结余分配：</w:t>
      </w:r>
      <w:r>
        <w:rPr>
          <w:rFonts w:hint="eastAsia" w:ascii="仿宋_GB2312" w:hAnsi="方正仿宋_GBK" w:eastAsia="仿宋_GB2312" w:cs="方正仿宋_GBK"/>
          <w:color w:val="000000"/>
          <w:kern w:val="2"/>
          <w:sz w:val="32"/>
          <w:szCs w:val="32"/>
          <w:lang w:val="en-US" w:eastAsia="zh-CN" w:bidi="ar-SA"/>
        </w:rPr>
        <w:t>指单位按规定缴纳企业所得税以及从非财政拨款结余或经营结余中提取各类结余的情况。</w:t>
      </w:r>
    </w:p>
    <w:p w14:paraId="7074FF3C">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十、年末结转和结余资金：</w:t>
      </w:r>
      <w:r>
        <w:rPr>
          <w:rFonts w:hint="eastAsia" w:ascii="仿宋_GB2312" w:hAnsi="方正仿宋_GBK" w:eastAsia="仿宋_GB2312" w:cs="方正仿宋_GBK"/>
          <w:color w:val="000000"/>
          <w:kern w:val="2"/>
          <w:sz w:val="32"/>
          <w:szCs w:val="32"/>
          <w:lang w:val="en-US" w:eastAsia="zh-CN" w:bidi="ar-SA"/>
        </w:rPr>
        <w:t>指单位结转下年的基本支出结转、项目支出结转和结余、经营结余。</w:t>
      </w:r>
    </w:p>
    <w:p w14:paraId="3657E5B3">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十一、基本支出：</w:t>
      </w:r>
      <w:r>
        <w:rPr>
          <w:rFonts w:hint="eastAsia" w:ascii="仿宋_GB2312" w:hAnsi="方正仿宋_GBK" w:eastAsia="仿宋_GB2312" w:cs="方正仿宋_GBK"/>
          <w:color w:val="000000"/>
          <w:kern w:val="2"/>
          <w:sz w:val="32"/>
          <w:szCs w:val="32"/>
          <w:lang w:val="en-US" w:eastAsia="zh-CN" w:bidi="ar-SA"/>
        </w:rPr>
        <w:t>指为保障机构正常运转、完成日常工作任务所发生的支出，包括人员经费和公用经费。</w:t>
      </w:r>
    </w:p>
    <w:p w14:paraId="20DC8B28">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color w:val="000000"/>
          <w:kern w:val="0"/>
          <w:sz w:val="32"/>
          <w:szCs w:val="32"/>
        </w:rPr>
        <w:t>十二、项目支出：</w:t>
      </w:r>
      <w:r>
        <w:rPr>
          <w:rFonts w:hint="eastAsia" w:ascii="仿宋_GB2312" w:hAnsi="方正仿宋_GBK" w:eastAsia="仿宋_GB2312" w:cs="方正仿宋_GBK"/>
          <w:color w:val="000000"/>
          <w:kern w:val="2"/>
          <w:sz w:val="32"/>
          <w:szCs w:val="32"/>
          <w:lang w:val="en-US" w:eastAsia="zh-CN" w:bidi="ar-SA"/>
        </w:rPr>
        <w:t>指单位为完成特定的行政工作任务或事业发展目标，在基本支出之外发生的各项支出。</w:t>
      </w:r>
    </w:p>
    <w:p w14:paraId="4CDE2436">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十三、上缴上级支出：</w:t>
      </w:r>
      <w:r>
        <w:rPr>
          <w:rFonts w:hint="eastAsia" w:ascii="仿宋_GB2312" w:hAnsi="方正仿宋_GBK" w:eastAsia="仿宋_GB2312" w:cs="方正仿宋_GBK"/>
          <w:color w:val="000000"/>
          <w:kern w:val="2"/>
          <w:sz w:val="32"/>
          <w:szCs w:val="32"/>
          <w:lang w:val="en-US" w:eastAsia="zh-CN" w:bidi="ar-SA"/>
        </w:rPr>
        <w:t>指事业单位按照财政部门和主管部门的规定上缴上级单位的支出。</w:t>
      </w:r>
    </w:p>
    <w:p w14:paraId="126C91F5">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十四、经营支出：</w:t>
      </w:r>
      <w:r>
        <w:rPr>
          <w:rFonts w:hint="eastAsia" w:ascii="仿宋_GB2312" w:hAnsi="方正仿宋_GBK" w:eastAsia="仿宋_GB2312" w:cs="方正仿宋_GBK"/>
          <w:color w:val="000000"/>
          <w:kern w:val="2"/>
          <w:sz w:val="32"/>
          <w:szCs w:val="32"/>
          <w:lang w:val="en-US" w:eastAsia="zh-CN" w:bidi="ar-SA"/>
        </w:rPr>
        <w:t>指事业单位在专业业务活动及其辅助活动之外开展非独立核算经营活动发生的支出。</w:t>
      </w:r>
    </w:p>
    <w:p w14:paraId="5525AEAC">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十五、对附属单位补助支出：</w:t>
      </w:r>
      <w:r>
        <w:rPr>
          <w:rFonts w:hint="eastAsia" w:ascii="仿宋_GB2312" w:hAnsi="方正仿宋_GBK" w:eastAsia="仿宋_GB2312" w:cs="方正仿宋_GBK"/>
          <w:color w:val="000000"/>
          <w:kern w:val="2"/>
          <w:sz w:val="32"/>
          <w:szCs w:val="32"/>
          <w:lang w:val="en-US" w:eastAsia="zh-CN" w:bidi="ar-SA"/>
        </w:rPr>
        <w:t>指事业单位用财政拨款收入之外的收入对附属单位补助发生的支出。</w:t>
      </w:r>
    </w:p>
    <w:p w14:paraId="5095A67A">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hint="eastAsia" w:ascii="仿宋_GB2312" w:hAnsi="方正仿宋_GBK" w:eastAsia="仿宋_GB2312" w:cs="方正仿宋_GBK"/>
          <w:color w:val="000000"/>
          <w:kern w:val="2"/>
          <w:sz w:val="32"/>
          <w:szCs w:val="32"/>
          <w:lang w:val="en-US" w:eastAsia="zh-CN" w:bidi="ar-SA"/>
        </w:rPr>
      </w:pPr>
      <w:r>
        <w:rPr>
          <w:rFonts w:ascii="FangSong_GB2312" w:hAnsi="FangSong_GB2312" w:eastAsia="FangSong_GB2312" w:cs="FangSong_GB2312"/>
          <w:b/>
          <w:bCs/>
          <w:kern w:val="0"/>
          <w:sz w:val="32"/>
          <w:szCs w:val="32"/>
        </w:rPr>
        <w:t>十六、“三公”经费：</w:t>
      </w:r>
      <w:r>
        <w:rPr>
          <w:rFonts w:hint="eastAsia" w:ascii="仿宋_GB2312" w:hAnsi="方正仿宋_GBK" w:eastAsia="仿宋_GB2312" w:cs="方正仿宋_GBK"/>
          <w:color w:val="000000"/>
          <w:kern w:val="2"/>
          <w:sz w:val="32"/>
          <w:szCs w:val="32"/>
          <w:lang w:val="en-US" w:eastAsia="zh-CN" w:bidi="ar-SA"/>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新能源汽车充电费、维修费、过路过桥费、保险费、安全奖励费用等支出；公务接待费反映部门（单位）按规定开支的各类公务接待（含外宾接待）费用。</w:t>
      </w:r>
    </w:p>
    <w:p w14:paraId="2F5782D1">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ascii="Times New Roman" w:hAnsi="Times New Roman" w:eastAsia="Times New Roman" w:cs="Times New Roman"/>
          <w:kern w:val="0"/>
          <w:sz w:val="24"/>
        </w:rPr>
      </w:pPr>
      <w:r>
        <w:rPr>
          <w:rFonts w:ascii="FangSong_GB2312" w:hAnsi="FangSong_GB2312" w:eastAsia="FangSong_GB2312" w:cs="FangSong_GB2312"/>
          <w:b/>
          <w:bCs/>
          <w:kern w:val="0"/>
          <w:sz w:val="32"/>
          <w:szCs w:val="32"/>
        </w:rPr>
        <w:t>十七、机关运行经费：</w:t>
      </w:r>
      <w:r>
        <w:rPr>
          <w:rFonts w:hint="eastAsia" w:ascii="仿宋_GB2312" w:hAnsi="方正仿宋_GBK" w:eastAsia="仿宋_GB2312" w:cs="方正仿宋_GBK"/>
          <w:color w:val="000000"/>
          <w:kern w:val="2"/>
          <w:sz w:val="32"/>
          <w:szCs w:val="32"/>
          <w:lang w:val="en-US" w:eastAsia="zh-CN" w:bidi="ar-SA"/>
        </w:rPr>
        <w:t>指行政单位和参照公务员法管理的事业单位财政拨款基本支出中的公用经费支出。</w:t>
      </w:r>
    </w:p>
    <w:p w14:paraId="0A3CC522">
      <w:pPr>
        <w:pStyle w:val="5"/>
        <w:keepNext w:val="0"/>
        <w:keepLines w:val="0"/>
        <w:pageBreakBefore w:val="0"/>
        <w:widowControl/>
        <w:kinsoku/>
        <w:wordWrap/>
        <w:overflowPunct/>
        <w:topLinePunct w:val="0"/>
        <w:autoSpaceDE/>
        <w:autoSpaceDN/>
        <w:bidi w:val="0"/>
        <w:spacing w:before="0" w:after="0" w:line="576" w:lineRule="exact"/>
        <w:ind w:left="0" w:leftChars="0" w:right="0" w:rightChars="0"/>
        <w:jc w:val="center"/>
        <w:textAlignment w:val="auto"/>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w:t>
      </w:r>
      <w:r>
        <w:rPr>
          <w:rFonts w:ascii="Times New Roman" w:hAnsi="Times New Roman" w:eastAsia="Times New Roman" w:cs="Times New Roman"/>
          <w:kern w:val="0"/>
          <w:sz w:val="36"/>
          <w:szCs w:val="36"/>
        </w:rPr>
        <w:t> </w:t>
      </w:r>
      <w:r>
        <w:rPr>
          <w:rFonts w:ascii="fang_zheng_xiao_biao_song_ti" w:hAnsi="fang_zheng_xiao_biao_song_ti" w:eastAsia="fang_zheng_xiao_biao_song_ti" w:cs="fang_zheng_xiao_biao_song_ti"/>
          <w:b w:val="0"/>
          <w:bCs w:val="0"/>
          <w:kern w:val="0"/>
          <w:sz w:val="36"/>
          <w:szCs w:val="36"/>
        </w:rPr>
        <w:t xml:space="preserve"> </w:t>
      </w:r>
      <w:r>
        <w:rPr>
          <w:rFonts w:ascii="fang_zheng_xiao_biao_song_ti" w:hAnsi="fang_zheng_xiao_biao_song_ti" w:eastAsia="fang_zheng_xiao_biao_song_ti" w:cs="fang_zheng_xiao_biao_song_ti"/>
          <w:kern w:val="0"/>
          <w:sz w:val="36"/>
          <w:szCs w:val="36"/>
        </w:rPr>
        <w:t>决算公开联系方式及信息反馈渠道</w:t>
      </w:r>
    </w:p>
    <w:p w14:paraId="79814F12">
      <w:pPr>
        <w:keepNext w:val="0"/>
        <w:keepLines w:val="0"/>
        <w:pageBreakBefore w:val="0"/>
        <w:widowControl/>
        <w:kinsoku/>
        <w:wordWrap/>
        <w:overflowPunct/>
        <w:topLinePunct w:val="0"/>
        <w:autoSpaceDE/>
        <w:autoSpaceDN/>
        <w:bidi w:val="0"/>
        <w:spacing w:line="576" w:lineRule="exact"/>
        <w:ind w:left="0" w:leftChars="0" w:right="0" w:rightChars="0"/>
        <w:jc w:val="left"/>
        <w:textAlignment w:val="auto"/>
        <w:rPr>
          <w:rFonts w:ascii="Times New Roman" w:hAnsi="Times New Roman" w:eastAsia="Times New Roman" w:cs="Times New Roman"/>
          <w:kern w:val="0"/>
          <w:sz w:val="24"/>
        </w:rPr>
      </w:pPr>
    </w:p>
    <w:p w14:paraId="4018731C">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本部门（单位）决算公开信息反馈和联系方式：</w:t>
      </w:r>
    </w:p>
    <w:p w14:paraId="32AB27E6">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hint="eastAsia" w:ascii="仿宋_GB2312" w:hAnsi="方正仿宋_GBK" w:eastAsia="仿宋_GB2312" w:cs="方正仿宋_GBK"/>
          <w:color w:val="000000"/>
          <w:kern w:val="2"/>
          <w:sz w:val="32"/>
          <w:szCs w:val="32"/>
          <w:lang w:val="en-US" w:eastAsia="zh-CN" w:bidi="ar-SA"/>
        </w:rPr>
      </w:pPr>
      <w:r>
        <w:rPr>
          <w:rFonts w:hint="eastAsia" w:ascii="仿宋_GB2312" w:hAnsi="方正仿宋_GBK" w:eastAsia="仿宋_GB2312" w:cs="方正仿宋_GBK"/>
          <w:color w:val="000000"/>
          <w:kern w:val="2"/>
          <w:sz w:val="32"/>
          <w:szCs w:val="32"/>
          <w:lang w:val="en-US" w:eastAsia="zh-CN" w:bidi="ar-SA"/>
        </w:rPr>
        <w:t>联系人：</w:t>
      </w:r>
      <w:r>
        <w:rPr>
          <w:rFonts w:hint="eastAsia" w:ascii="仿宋_GB2312" w:hAnsi="方正仿宋_GBK" w:eastAsia="仿宋_GB2312" w:cs="方正仿宋_GBK"/>
          <w:color w:val="000000"/>
          <w:kern w:val="2"/>
          <w:sz w:val="32"/>
          <w:szCs w:val="32"/>
          <w:lang w:val="en-US" w:eastAsia="en-US" w:bidi="ar-SA"/>
        </w:rPr>
        <w:t>杨帆              </w:t>
      </w:r>
      <w:r>
        <w:rPr>
          <w:rFonts w:hint="eastAsia" w:ascii="仿宋_GB2312" w:hAnsi="方正仿宋_GBK" w:eastAsia="仿宋_GB2312" w:cs="方正仿宋_GBK"/>
          <w:color w:val="000000"/>
          <w:kern w:val="2"/>
          <w:sz w:val="32"/>
          <w:szCs w:val="32"/>
          <w:lang w:val="en-US" w:eastAsia="zh-CN" w:bidi="ar-SA"/>
        </w:rPr>
        <w:t>联系电话：</w:t>
      </w:r>
      <w:r>
        <w:rPr>
          <w:rFonts w:hint="eastAsia" w:ascii="仿宋_GB2312" w:hAnsi="方正仿宋_GBK" w:eastAsia="仿宋_GB2312" w:cs="方正仿宋_GBK"/>
          <w:color w:val="000000"/>
          <w:kern w:val="2"/>
          <w:sz w:val="32"/>
          <w:szCs w:val="32"/>
          <w:lang w:val="en-US" w:eastAsia="en-US" w:bidi="ar-SA"/>
        </w:rPr>
        <w:t>0470-6537303</w:t>
      </w:r>
    </w:p>
    <w:p w14:paraId="34BC3E5E">
      <w:pPr>
        <w:pStyle w:val="30"/>
        <w:keepNext w:val="0"/>
        <w:keepLines w:val="0"/>
        <w:pageBreakBefore w:val="0"/>
        <w:widowControl/>
        <w:kinsoku/>
        <w:wordWrap/>
        <w:overflowPunct/>
        <w:topLinePunct w:val="0"/>
        <w:autoSpaceDE/>
        <w:autoSpaceDN/>
        <w:bidi w:val="0"/>
        <w:spacing w:line="576" w:lineRule="exact"/>
        <w:ind w:left="0" w:leftChars="0" w:right="0" w:rightChars="0" w:firstLine="643"/>
        <w:jc w:val="left"/>
        <w:textAlignment w:val="auto"/>
        <w:rPr>
          <w:rFonts w:hint="eastAsia" w:ascii="仿宋_GB2312" w:hAnsi="方正仿宋_GBK" w:eastAsia="仿宋_GB2312" w:cs="方正仿宋_GBK"/>
          <w:color w:val="000000"/>
          <w:kern w:val="2"/>
          <w:sz w:val="32"/>
          <w:szCs w:val="32"/>
          <w:lang w:val="en-US" w:eastAsia="zh-CN" w:bidi="ar-SA"/>
        </w:rPr>
      </w:pPr>
    </w:p>
    <w:p w14:paraId="5E35760A">
      <w:pPr>
        <w:pStyle w:val="5"/>
        <w:keepNext w:val="0"/>
        <w:keepLines w:val="0"/>
        <w:pageBreakBefore w:val="0"/>
        <w:widowControl/>
        <w:kinsoku/>
        <w:wordWrap/>
        <w:overflowPunct/>
        <w:topLinePunct w:val="0"/>
        <w:autoSpaceDE/>
        <w:autoSpaceDN/>
        <w:bidi w:val="0"/>
        <w:spacing w:before="0" w:after="0" w:line="576" w:lineRule="exact"/>
        <w:ind w:left="0" w:leftChars="0" w:right="0" w:rightChars="0"/>
        <w:jc w:val="center"/>
        <w:textAlignment w:val="auto"/>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w:t>
      </w:r>
      <w:r>
        <w:rPr>
          <w:rFonts w:ascii="Times New Roman" w:hAnsi="Times New Roman" w:eastAsia="Times New Roman" w:cs="Times New Roman"/>
          <w:kern w:val="0"/>
          <w:sz w:val="36"/>
          <w:szCs w:val="36"/>
        </w:rPr>
        <w:t> </w:t>
      </w:r>
      <w:r>
        <w:rPr>
          <w:rFonts w:ascii="方正小标宋简体" w:hAnsi="方正小标宋简体" w:eastAsia="方正小标宋简体" w:cs="方正小标宋简体"/>
          <w:b w:val="0"/>
          <w:bCs w:val="0"/>
          <w:kern w:val="0"/>
          <w:sz w:val="36"/>
          <w:szCs w:val="36"/>
        </w:rPr>
        <w:t xml:space="preserve"> </w:t>
      </w:r>
      <w:r>
        <w:rPr>
          <w:rFonts w:ascii="fang_zheng_xiao_biao_song_ti" w:hAnsi="fang_zheng_xiao_biao_song_ti" w:eastAsia="fang_zheng_xiao_biao_song_ti" w:cs="fang_zheng_xiao_biao_song_ti"/>
          <w:kern w:val="0"/>
          <w:sz w:val="36"/>
          <w:szCs w:val="36"/>
        </w:rPr>
        <w:t>部门（单位）决算表</w:t>
      </w:r>
    </w:p>
    <w:p w14:paraId="23756E7E">
      <w:pPr>
        <w:pStyle w:val="30"/>
        <w:keepNext w:val="0"/>
        <w:keepLines w:val="0"/>
        <w:pageBreakBefore w:val="0"/>
        <w:widowControl/>
        <w:kinsoku/>
        <w:wordWrap/>
        <w:overflowPunct/>
        <w:topLinePunct w:val="0"/>
        <w:autoSpaceDE/>
        <w:autoSpaceDN/>
        <w:bidi w:val="0"/>
        <w:spacing w:line="576" w:lineRule="exact"/>
        <w:ind w:left="0" w:leftChars="0" w:right="0" w:rightChars="0"/>
        <w:jc w:val="center"/>
        <w:textAlignment w:val="auto"/>
        <w:rPr>
          <w:rFonts w:ascii="Times New Roman" w:hAnsi="Times New Roman" w:eastAsia="Times New Roman" w:cs="Times New Roman"/>
          <w:kern w:val="0"/>
          <w:sz w:val="24"/>
        </w:rPr>
      </w:pPr>
      <w:r>
        <w:rPr>
          <w:rFonts w:ascii="Times New Roman" w:hAnsi="Times New Roman" w:eastAsia="Times New Roman" w:cs="Times New Roman"/>
          <w:kern w:val="0"/>
          <w:sz w:val="24"/>
          <w:lang w:eastAsia="en-US"/>
        </w:rPr>
        <w:t> </w:t>
      </w:r>
    </w:p>
    <w:p w14:paraId="279FA1D9">
      <w:pPr>
        <w:pStyle w:val="30"/>
        <w:keepNext w:val="0"/>
        <w:keepLines w:val="0"/>
        <w:pageBreakBefore w:val="0"/>
        <w:widowControl/>
        <w:kinsoku/>
        <w:wordWrap/>
        <w:overflowPunct/>
        <w:topLinePunct w:val="0"/>
        <w:autoSpaceDE/>
        <w:autoSpaceDN/>
        <w:bidi w:val="0"/>
        <w:spacing w:line="576" w:lineRule="exact"/>
        <w:ind w:left="0" w:leftChars="0" w:right="0" w:rightChars="0" w:firstLine="640"/>
        <w:jc w:val="left"/>
        <w:textAlignment w:val="auto"/>
        <w:rPr>
          <w:rFonts w:ascii="Times New Roman" w:hAnsi="Times New Roman" w:eastAsia="Times New Roman" w:cs="Times New Roman"/>
          <w:kern w:val="0"/>
          <w:sz w:val="24"/>
        </w:rPr>
      </w:pPr>
      <w:r>
        <w:rPr>
          <w:rFonts w:ascii="FangSong_GB2312" w:hAnsi="FangSong_GB2312" w:eastAsia="FangSong_GB2312" w:cs="FangSong_GB2312"/>
          <w:kern w:val="0"/>
          <w:sz w:val="32"/>
          <w:szCs w:val="32"/>
        </w:rPr>
        <w:t>见附件。</w:t>
      </w:r>
    </w:p>
    <w:bookmarkEnd w:id="0"/>
    <w:p w14:paraId="068ADE5A">
      <w:pPr>
        <w:keepNext w:val="0"/>
        <w:keepLines w:val="0"/>
        <w:pageBreakBefore w:val="0"/>
        <w:kinsoku/>
        <w:wordWrap/>
        <w:overflowPunct/>
        <w:topLinePunct w:val="0"/>
        <w:autoSpaceDE/>
        <w:autoSpaceDN/>
        <w:bidi w:val="0"/>
        <w:adjustRightInd w:val="0"/>
        <w:snapToGrid w:val="0"/>
        <w:spacing w:line="576" w:lineRule="exact"/>
        <w:ind w:left="0" w:leftChars="0" w:right="0" w:rightChars="0"/>
        <w:textAlignment w:val="auto"/>
        <w:rPr>
          <w:rFonts w:ascii="宋体" w:hAnsi="宋体"/>
          <w:b/>
          <w:sz w:val="32"/>
          <w:szCs w:val="32"/>
        </w:rPr>
      </w:pPr>
    </w:p>
    <w:p w14:paraId="5A8A33C2">
      <w:pPr>
        <w:keepNext w:val="0"/>
        <w:keepLines w:val="0"/>
        <w:pageBreakBefore w:val="0"/>
        <w:kinsoku/>
        <w:wordWrap/>
        <w:overflowPunct/>
        <w:topLinePunct w:val="0"/>
        <w:autoSpaceDE/>
        <w:autoSpaceDN/>
        <w:bidi w:val="0"/>
        <w:adjustRightInd w:val="0"/>
        <w:snapToGrid w:val="0"/>
        <w:spacing w:line="576" w:lineRule="exact"/>
        <w:ind w:left="0" w:leftChars="0" w:right="0" w:rightChars="0"/>
        <w:textAlignment w:val="auto"/>
        <w:rPr>
          <w:rFonts w:ascii="宋体" w:hAnsi="宋体"/>
          <w:b/>
          <w:sz w:val="32"/>
          <w:szCs w:val="32"/>
        </w:rPr>
      </w:pPr>
    </w:p>
    <w:p w14:paraId="674F942B">
      <w:pPr>
        <w:keepNext w:val="0"/>
        <w:keepLines w:val="0"/>
        <w:pageBreakBefore w:val="0"/>
        <w:tabs>
          <w:tab w:val="left" w:pos="8415"/>
        </w:tabs>
        <w:kinsoku/>
        <w:wordWrap/>
        <w:overflowPunct/>
        <w:topLinePunct w:val="0"/>
        <w:autoSpaceDE/>
        <w:autoSpaceDN/>
        <w:bidi w:val="0"/>
        <w:spacing w:line="576" w:lineRule="exact"/>
        <w:ind w:left="0" w:leftChars="0" w:right="0" w:rightChars="0"/>
        <w:textAlignment w:val="auto"/>
      </w:pPr>
    </w:p>
    <w:sectPr>
      <w:footerReference r:id="rId4" w:type="default"/>
      <w:pgSz w:w="11906" w:h="16838"/>
      <w:pgMar w:top="1440" w:right="1800" w:bottom="1440" w:left="1800"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Song_GB2312">
    <w:altName w:val="仿宋"/>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fang_song_gb2312">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times_new_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K">
    <w:panose1 w:val="03000509000000000000"/>
    <w:charset w:val="86"/>
    <w:family w:val="roman"/>
    <w:pitch w:val="default"/>
    <w:sig w:usb0="00000001" w:usb1="080E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黑体_GBK">
    <w:panose1 w:val="03000509000000000000"/>
    <w:charset w:val="86"/>
    <w:family w:val="auto"/>
    <w:pitch w:val="default"/>
    <w:sig w:usb0="00000001" w:usb1="080E0000" w:usb2="00000000" w:usb3="00000000" w:csb0="00040000" w:csb1="00000000"/>
  </w:font>
  <w:font w:name="fang_zheng_xiao_biao_song_ti">
    <w:altName w:val="Segoe Print"/>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8BCA4F43">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D2F56">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14621">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C6972"/>
    <w:rsid w:val="009D40FD"/>
    <w:rsid w:val="012870C6"/>
    <w:rsid w:val="01BC338A"/>
    <w:rsid w:val="01D335C4"/>
    <w:rsid w:val="0277171E"/>
    <w:rsid w:val="03973972"/>
    <w:rsid w:val="046F54DC"/>
    <w:rsid w:val="057F0482"/>
    <w:rsid w:val="05C67EBD"/>
    <w:rsid w:val="06206823"/>
    <w:rsid w:val="06801679"/>
    <w:rsid w:val="08510292"/>
    <w:rsid w:val="08714079"/>
    <w:rsid w:val="08BA00D2"/>
    <w:rsid w:val="08D31C23"/>
    <w:rsid w:val="09813F7A"/>
    <w:rsid w:val="098F74D8"/>
    <w:rsid w:val="0A01190F"/>
    <w:rsid w:val="0B192849"/>
    <w:rsid w:val="0BC10889"/>
    <w:rsid w:val="0C0C10AE"/>
    <w:rsid w:val="0D085859"/>
    <w:rsid w:val="0EB118F0"/>
    <w:rsid w:val="0F1908ED"/>
    <w:rsid w:val="0F904CFF"/>
    <w:rsid w:val="10BC75B6"/>
    <w:rsid w:val="10FE487B"/>
    <w:rsid w:val="11072CF3"/>
    <w:rsid w:val="11A10873"/>
    <w:rsid w:val="11A13262"/>
    <w:rsid w:val="126B0BD8"/>
    <w:rsid w:val="128D0265"/>
    <w:rsid w:val="13203892"/>
    <w:rsid w:val="157F4FDD"/>
    <w:rsid w:val="15AE7FD4"/>
    <w:rsid w:val="16107548"/>
    <w:rsid w:val="16EE54EA"/>
    <w:rsid w:val="18797B75"/>
    <w:rsid w:val="18E20BBB"/>
    <w:rsid w:val="1A297535"/>
    <w:rsid w:val="1ABE5DFC"/>
    <w:rsid w:val="1B487864"/>
    <w:rsid w:val="1B7851C1"/>
    <w:rsid w:val="1BAC1D43"/>
    <w:rsid w:val="1C2F6511"/>
    <w:rsid w:val="1CD027AA"/>
    <w:rsid w:val="1D2B3EF5"/>
    <w:rsid w:val="1DA25DAE"/>
    <w:rsid w:val="1DAB6CA9"/>
    <w:rsid w:val="1E9D55F7"/>
    <w:rsid w:val="1F785C3C"/>
    <w:rsid w:val="20B30253"/>
    <w:rsid w:val="20D62275"/>
    <w:rsid w:val="215E180C"/>
    <w:rsid w:val="217B49FB"/>
    <w:rsid w:val="22441C5F"/>
    <w:rsid w:val="22C01FEC"/>
    <w:rsid w:val="237B7570"/>
    <w:rsid w:val="2499373B"/>
    <w:rsid w:val="24F37D6F"/>
    <w:rsid w:val="26815414"/>
    <w:rsid w:val="26FA7548"/>
    <w:rsid w:val="27B26C8A"/>
    <w:rsid w:val="28255040"/>
    <w:rsid w:val="28653132"/>
    <w:rsid w:val="28CD0B09"/>
    <w:rsid w:val="28F5574F"/>
    <w:rsid w:val="29A86DF4"/>
    <w:rsid w:val="2AD56EF5"/>
    <w:rsid w:val="2ADA3691"/>
    <w:rsid w:val="2B460DF4"/>
    <w:rsid w:val="2B8641C3"/>
    <w:rsid w:val="2BDA3785"/>
    <w:rsid w:val="2D182446"/>
    <w:rsid w:val="2D221D2B"/>
    <w:rsid w:val="2D23016E"/>
    <w:rsid w:val="2D287A18"/>
    <w:rsid w:val="2D623218"/>
    <w:rsid w:val="2D6D6EA0"/>
    <w:rsid w:val="2D837DB6"/>
    <w:rsid w:val="2D924103"/>
    <w:rsid w:val="2DA443F6"/>
    <w:rsid w:val="2DBA43E6"/>
    <w:rsid w:val="2DC202FE"/>
    <w:rsid w:val="2E5157D8"/>
    <w:rsid w:val="2EA21310"/>
    <w:rsid w:val="2F5B65E1"/>
    <w:rsid w:val="2FD4075D"/>
    <w:rsid w:val="2FDA435A"/>
    <w:rsid w:val="2FEB47C6"/>
    <w:rsid w:val="30787195"/>
    <w:rsid w:val="3115062F"/>
    <w:rsid w:val="318F4A89"/>
    <w:rsid w:val="322C7288"/>
    <w:rsid w:val="32DE0DE4"/>
    <w:rsid w:val="33080654"/>
    <w:rsid w:val="337D41EF"/>
    <w:rsid w:val="34B856E8"/>
    <w:rsid w:val="34C46299"/>
    <w:rsid w:val="353E4C6B"/>
    <w:rsid w:val="355375BD"/>
    <w:rsid w:val="355F3FDB"/>
    <w:rsid w:val="355F7FED"/>
    <w:rsid w:val="36916B8F"/>
    <w:rsid w:val="36A8587E"/>
    <w:rsid w:val="37027957"/>
    <w:rsid w:val="37365297"/>
    <w:rsid w:val="38B24417"/>
    <w:rsid w:val="39033A09"/>
    <w:rsid w:val="391E5540"/>
    <w:rsid w:val="39867FE4"/>
    <w:rsid w:val="399751E4"/>
    <w:rsid w:val="3B031666"/>
    <w:rsid w:val="3B370105"/>
    <w:rsid w:val="3BA10508"/>
    <w:rsid w:val="3BF46574"/>
    <w:rsid w:val="3C90436C"/>
    <w:rsid w:val="3DAC6A4F"/>
    <w:rsid w:val="3DEC32AE"/>
    <w:rsid w:val="4008709F"/>
    <w:rsid w:val="400D254F"/>
    <w:rsid w:val="40194DB4"/>
    <w:rsid w:val="40410B2E"/>
    <w:rsid w:val="417754B5"/>
    <w:rsid w:val="41DF6E56"/>
    <w:rsid w:val="44227F51"/>
    <w:rsid w:val="44570C70"/>
    <w:rsid w:val="450D3340"/>
    <w:rsid w:val="46087834"/>
    <w:rsid w:val="46DA7E0A"/>
    <w:rsid w:val="470C2C84"/>
    <w:rsid w:val="4AF94091"/>
    <w:rsid w:val="4B2437D6"/>
    <w:rsid w:val="4BBE2A99"/>
    <w:rsid w:val="4C460D0C"/>
    <w:rsid w:val="4CD279A4"/>
    <w:rsid w:val="4D5675A7"/>
    <w:rsid w:val="4D610F05"/>
    <w:rsid w:val="4ED375EF"/>
    <w:rsid w:val="4F1E1AE5"/>
    <w:rsid w:val="4FC94D08"/>
    <w:rsid w:val="50FB5D79"/>
    <w:rsid w:val="5183668E"/>
    <w:rsid w:val="51C92A6D"/>
    <w:rsid w:val="51E20723"/>
    <w:rsid w:val="52377145"/>
    <w:rsid w:val="5291534E"/>
    <w:rsid w:val="52D411FF"/>
    <w:rsid w:val="52FB1796"/>
    <w:rsid w:val="533231B2"/>
    <w:rsid w:val="53323D84"/>
    <w:rsid w:val="53814191"/>
    <w:rsid w:val="53F3597D"/>
    <w:rsid w:val="54551C9A"/>
    <w:rsid w:val="548461CA"/>
    <w:rsid w:val="54E52991"/>
    <w:rsid w:val="553E0FE8"/>
    <w:rsid w:val="55C50197"/>
    <w:rsid w:val="56990E58"/>
    <w:rsid w:val="56F46D0C"/>
    <w:rsid w:val="57063D5C"/>
    <w:rsid w:val="57F66434"/>
    <w:rsid w:val="58C2000A"/>
    <w:rsid w:val="5A24614F"/>
    <w:rsid w:val="5A6F47DE"/>
    <w:rsid w:val="5AE87D7B"/>
    <w:rsid w:val="5B26425C"/>
    <w:rsid w:val="5B97488D"/>
    <w:rsid w:val="5D341F3F"/>
    <w:rsid w:val="5D9C1759"/>
    <w:rsid w:val="5E557326"/>
    <w:rsid w:val="5E7850D8"/>
    <w:rsid w:val="5F322A81"/>
    <w:rsid w:val="5FAA0F35"/>
    <w:rsid w:val="5FBE0CD2"/>
    <w:rsid w:val="5FE57784"/>
    <w:rsid w:val="60110A4D"/>
    <w:rsid w:val="60A80DAA"/>
    <w:rsid w:val="616072E2"/>
    <w:rsid w:val="61E3336D"/>
    <w:rsid w:val="629C66DE"/>
    <w:rsid w:val="62D271DF"/>
    <w:rsid w:val="62FB2E58"/>
    <w:rsid w:val="633E5419"/>
    <w:rsid w:val="63813307"/>
    <w:rsid w:val="64831DFB"/>
    <w:rsid w:val="64892178"/>
    <w:rsid w:val="64B62575"/>
    <w:rsid w:val="64D77182"/>
    <w:rsid w:val="657A4826"/>
    <w:rsid w:val="65991EEC"/>
    <w:rsid w:val="65D42747"/>
    <w:rsid w:val="6653179A"/>
    <w:rsid w:val="670B4C19"/>
    <w:rsid w:val="676D59CA"/>
    <w:rsid w:val="67B53931"/>
    <w:rsid w:val="682F4935"/>
    <w:rsid w:val="68843E8B"/>
    <w:rsid w:val="692233CC"/>
    <w:rsid w:val="696B5376"/>
    <w:rsid w:val="6AE87B78"/>
    <w:rsid w:val="6B0A7A8C"/>
    <w:rsid w:val="6CB43266"/>
    <w:rsid w:val="6CEE602F"/>
    <w:rsid w:val="6DAF7B36"/>
    <w:rsid w:val="6E321DD3"/>
    <w:rsid w:val="6FE72806"/>
    <w:rsid w:val="70032E4B"/>
    <w:rsid w:val="7075575E"/>
    <w:rsid w:val="708A46CE"/>
    <w:rsid w:val="70C91B37"/>
    <w:rsid w:val="720A33E7"/>
    <w:rsid w:val="72581987"/>
    <w:rsid w:val="730716CA"/>
    <w:rsid w:val="732D797C"/>
    <w:rsid w:val="739B5F38"/>
    <w:rsid w:val="74220539"/>
    <w:rsid w:val="744A16E3"/>
    <w:rsid w:val="74995EE8"/>
    <w:rsid w:val="74C51EC5"/>
    <w:rsid w:val="757B2077"/>
    <w:rsid w:val="76496FC8"/>
    <w:rsid w:val="76E66296"/>
    <w:rsid w:val="76F13C18"/>
    <w:rsid w:val="77B94668"/>
    <w:rsid w:val="788C414E"/>
    <w:rsid w:val="78FD469A"/>
    <w:rsid w:val="797344EA"/>
    <w:rsid w:val="7A037875"/>
    <w:rsid w:val="7A6247E8"/>
    <w:rsid w:val="7AAE6E78"/>
    <w:rsid w:val="7ABD1532"/>
    <w:rsid w:val="7AE32314"/>
    <w:rsid w:val="7AEA3AE1"/>
    <w:rsid w:val="7B0F129E"/>
    <w:rsid w:val="7B2F066E"/>
    <w:rsid w:val="7B774231"/>
    <w:rsid w:val="7C6D7B35"/>
    <w:rsid w:val="7CC07621"/>
    <w:rsid w:val="7DD41D8F"/>
    <w:rsid w:val="7DF40ACF"/>
    <w:rsid w:val="7E2D08CC"/>
    <w:rsid w:val="7E5E48C5"/>
    <w:rsid w:val="7EB74B90"/>
    <w:rsid w:val="7FEE39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29"/>
    <w:qFormat/>
    <w:uiPriority w:val="0"/>
    <w:pPr>
      <w:keepNext/>
      <w:keepLines/>
      <w:spacing w:before="260" w:after="260" w:line="416" w:lineRule="auto"/>
      <w:outlineLvl w:val="2"/>
    </w:pPr>
    <w:rPr>
      <w:b/>
      <w:bCs/>
      <w:sz w:val="32"/>
      <w:szCs w:val="32"/>
    </w:rPr>
  </w:style>
  <w:style w:type="paragraph" w:styleId="7">
    <w:name w:val="heading 4"/>
    <w:basedOn w:val="1"/>
    <w:next w:val="1"/>
    <w:link w:val="24"/>
    <w:qFormat/>
    <w:uiPriority w:val="0"/>
    <w:pPr>
      <w:keepNext/>
      <w:keepLines/>
      <w:spacing w:before="280" w:after="290" w:line="376" w:lineRule="auto"/>
      <w:outlineLvl w:val="3"/>
    </w:pPr>
    <w:rPr>
      <w:rFonts w:ascii="Cambria" w:hAnsi="Cambria"/>
      <w:b/>
      <w:bCs/>
      <w:sz w:val="28"/>
      <w:szCs w:val="28"/>
    </w:rPr>
  </w:style>
  <w:style w:type="character" w:default="1" w:styleId="21">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left="200" w:leftChars="200" w:firstLine="420" w:firstLineChars="200"/>
    </w:pPr>
  </w:style>
  <w:style w:type="paragraph" w:styleId="3">
    <w:name w:val="Body Text Indent"/>
    <w:basedOn w:val="1"/>
    <w:unhideWhenUsed/>
    <w:qFormat/>
    <w:uiPriority w:val="0"/>
    <w:pPr>
      <w:ind w:firstLine="630"/>
    </w:p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basedOn w:val="1"/>
    <w:next w:val="1"/>
    <w:qFormat/>
    <w:uiPriority w:val="0"/>
    <w:pPr>
      <w:adjustRightInd w:val="0"/>
      <w:snapToGrid w:val="0"/>
      <w:spacing w:line="360" w:lineRule="auto"/>
      <w:ind w:firstLine="400" w:firstLineChars="400"/>
      <w:jc w:val="left"/>
    </w:pPr>
    <w:rPr>
      <w:sz w:val="24"/>
      <w:szCs w:val="20"/>
    </w:rPr>
  </w:style>
  <w:style w:type="paragraph" w:styleId="12">
    <w:name w:val="toc 8"/>
    <w:basedOn w:val="1"/>
    <w:next w:val="1"/>
    <w:qFormat/>
    <w:uiPriority w:val="0"/>
    <w:pPr>
      <w:ind w:left="1470"/>
      <w:jc w:val="left"/>
    </w:pPr>
    <w:rPr>
      <w:sz w:val="20"/>
      <w:szCs w:val="20"/>
    </w:rPr>
  </w:style>
  <w:style w:type="paragraph" w:styleId="13">
    <w:name w:val="footer"/>
    <w:basedOn w:val="1"/>
    <w:link w:val="27"/>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adjustRightInd w:val="0"/>
      <w:snapToGrid w:val="0"/>
      <w:spacing w:line="360" w:lineRule="auto"/>
      <w:jc w:val="left"/>
    </w:pPr>
    <w:rPr>
      <w:b/>
      <w:bCs/>
      <w:sz w:val="24"/>
      <w:szCs w:val="20"/>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9">
    <w:name w:val="toc 9"/>
    <w:basedOn w:val="1"/>
    <w:next w:val="1"/>
    <w:qFormat/>
    <w:uiPriority w:val="0"/>
    <w:pPr>
      <w:ind w:left="1680"/>
      <w:jc w:val="left"/>
    </w:pPr>
    <w:rPr>
      <w:sz w:val="20"/>
      <w:szCs w:val="20"/>
    </w:r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customStyle="1" w:styleId="24">
    <w:name w:val="标题 4 Char"/>
    <w:basedOn w:val="21"/>
    <w:link w:val="7"/>
    <w:qFormat/>
    <w:uiPriority w:val="0"/>
    <w:rPr>
      <w:rFonts w:ascii="Cambria" w:hAnsi="Cambria"/>
      <w:b/>
      <w:bCs/>
      <w:kern w:val="2"/>
      <w:sz w:val="28"/>
      <w:szCs w:val="28"/>
    </w:rPr>
  </w:style>
  <w:style w:type="paragraph" w:customStyle="1" w:styleId="2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6">
    <w:name w:val="无间隔 Char"/>
    <w:link w:val="25"/>
    <w:qFormat/>
    <w:locked/>
    <w:uiPriority w:val="0"/>
    <w:rPr>
      <w:rFonts w:eastAsia="仿宋_GB2312"/>
      <w:sz w:val="30"/>
      <w:szCs w:val="22"/>
      <w:lang w:bidi="ar-SA"/>
    </w:rPr>
  </w:style>
  <w:style w:type="character" w:customStyle="1" w:styleId="27">
    <w:name w:val="页脚 Char"/>
    <w:basedOn w:val="21"/>
    <w:link w:val="13"/>
    <w:qFormat/>
    <w:uiPriority w:val="0"/>
    <w:rPr>
      <w:kern w:val="2"/>
      <w:sz w:val="18"/>
      <w:szCs w:val="18"/>
    </w:rPr>
  </w:style>
  <w:style w:type="paragraph" w:customStyle="1" w:styleId="28">
    <w:name w:val="List Paragraph"/>
    <w:basedOn w:val="1"/>
    <w:qFormat/>
    <w:uiPriority w:val="0"/>
    <w:pPr>
      <w:ind w:firstLine="420" w:firstLineChars="200"/>
    </w:pPr>
  </w:style>
  <w:style w:type="character" w:customStyle="1" w:styleId="29">
    <w:name w:val="标题 3 Char"/>
    <w:basedOn w:val="21"/>
    <w:link w:val="6"/>
    <w:qFormat/>
    <w:uiPriority w:val="0"/>
    <w:rPr>
      <w:b/>
      <w:bCs/>
      <w:kern w:val="2"/>
      <w:sz w:val="32"/>
      <w:szCs w:val="32"/>
    </w:rPr>
  </w:style>
  <w:style w:type="paragraph" w:customStyle="1" w:styleId="30">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278332716734493"/>
          <c:y val="0.196086863040206"/>
          <c:w val="0.396473054630657"/>
          <c:h val="0.69124919372178"/>
        </c:manualLayout>
      </c:layout>
      <c:pieChart>
        <c:varyColors val="1"/>
        <c:ser>
          <c:idx val="0"/>
          <c:order val="0"/>
          <c:tx>
            <c:strRef>
              <c:f>Sheet1!$B$1</c:f>
              <c:strCache>
                <c:ptCount val="1"/>
                <c:pt idx="0">
                  <c:v>金额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一般公共预算财政拨款收入</c:v>
                </c:pt>
                <c:pt idx="1">
                  <c:v>其他收入</c:v>
                </c:pt>
              </c:strCache>
            </c:strRef>
          </c:cat>
          <c:val>
            <c:numRef>
              <c:f>Sheet1!$B$2:$B$3</c:f>
              <c:numCache>
                <c:formatCode>General</c:formatCode>
                <c:ptCount val="2"/>
                <c:pt idx="0">
                  <c:v>613.68</c:v>
                </c:pt>
                <c:pt idx="1">
                  <c:v>9.12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5d9268b-9904-4d62-88e4-60eb59728e0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金额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基本支出</c:v>
                </c:pt>
                <c:pt idx="1">
                  <c:v>项目支出</c:v>
                </c:pt>
              </c:strCache>
            </c:strRef>
          </c:cat>
          <c:val>
            <c:numRef>
              <c:f>Sheet1!$B$2:$B$3</c:f>
              <c:numCache>
                <c:formatCode>General</c:formatCode>
                <c:ptCount val="2"/>
                <c:pt idx="0">
                  <c:v>452.77</c:v>
                </c:pt>
                <c:pt idx="1">
                  <c:v>222.53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6b6bef6-77f2-4070-bbaf-785b1fe6b09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40FBB8C3-AB0F-4E54-B888-F65ACC039CA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26</Pages>
  <Words>588</Words>
  <Characters>594</Characters>
  <Lines>1</Lines>
  <Paragraphs>1</Paragraphs>
  <TotalTime>0</TotalTime>
  <ScaleCrop>false</ScaleCrop>
  <LinksUpToDate>false</LinksUpToDate>
  <CharactersWithSpaces>607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十二礼。</cp:lastModifiedBy>
  <cp:lastPrinted>2021-04-16T00:45:00Z</cp:lastPrinted>
  <dcterms:modified xsi:type="dcterms:W3CDTF">2026-08-07T07:19:45Z</dcterms:modified>
  <dc:title>××年度××部门/单位</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2052-12.1.0.26895</vt:lpwstr>
  </property>
  <property fmtid="{D5CDD505-2E9C-101B-9397-08002B2CF9AE}" pid="4" name="KSOTemplateDocerSaveRecord">
    <vt:lpwstr>eyJoZGlkIjoiMjhjZGE3OGU1NzNlZTZhMjBhMDIwZjRhMDQ0MzJmYTMiLCJ1c2VySWQiOiI0MTE3OTcwMTcifQ==</vt:lpwstr>
  </property>
</Properties>
</file>